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798d8k.htm"/>
      <w:bookmarkStart w:id="1" w:name="ksd11079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INTELLIA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15" w:type="dxa"/>
        <w:jc w:val="left"/>
        <w:tblInd w:w="0" w:type="dxa"/>
        <w:tblLayout w:type="fixed"/>
        <w:tblCellMar>
          <w:top w:w="0" w:type="dxa"/>
          <w:left w:w="0" w:type="dxa"/>
          <w:bottom w:w="0" w:type="dxa"/>
          <w:right w:w="0" w:type="dxa"/>
        </w:tblCellMar>
      </w:tblPr>
      <w:tblGrid>
        <w:gridCol w:w="4070"/>
        <w:gridCol w:w="60"/>
        <w:gridCol w:w="1055"/>
        <w:gridCol w:w="60"/>
        <w:gridCol w:w="137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001-37766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36-4785571</w:t>
            </w:r>
          </w:p>
        </w:tc>
      </w:tr>
      <w:tr>
        <w:trPr/>
        <w:tc>
          <w:tcPr>
            <w:tcW w:w="4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400 Technology Square, Suite 100</w:t>
            </w:r>
          </w:p>
          <w:p>
            <w:pPr>
              <w:pStyle w:val="TableContents"/>
              <w:bidi w:val="0"/>
              <w:spacing w:before="0" w:after="20"/>
              <w:jc w:val="center"/>
              <w:rPr>
                <w:rFonts w:ascii="Times New Roman" w:hAnsi="Times New Roman"/>
                <w:b/>
                <w:sz w:val="20"/>
              </w:rPr>
            </w:pPr>
            <w:r>
              <w:rPr>
                <w:rFonts w:ascii="Times New Roman" w:hAnsi="Times New Roman"/>
                <w:b/>
                <w:sz w:val="20"/>
              </w:rPr>
              <w:t>Cambridge, 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02139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(857) 285-6200</w:t>
      </w:r>
    </w:p>
    <w:p>
      <w:pPr>
        <w:pStyle w:val="TextBody"/>
        <w:bidi w:val="0"/>
        <w:spacing w:before="240" w:after="0"/>
        <w:jc w:val="center"/>
        <w:rPr>
          <w:rFonts w:ascii="Times New Roman" w:hAnsi="Times New Roman"/>
          <w:b/>
          <w:sz w:val="20"/>
        </w:rPr>
      </w:pPr>
      <w:r>
        <w:rPr>
          <w:rFonts w:ascii="Times New Roman" w:hAnsi="Times New Roman"/>
          <w:b/>
          <w:sz w:val="20"/>
        </w:rPr>
        <w:t>40 Erie Street, Suite 130, Cambridge, Massachusetts 02139</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005" w:type="dxa"/>
        <w:jc w:val="left"/>
        <w:tblInd w:w="0" w:type="dxa"/>
        <w:tblLayout w:type="fixed"/>
        <w:tblCellMar>
          <w:top w:w="0" w:type="dxa"/>
          <w:left w:w="0" w:type="dxa"/>
          <w:bottom w:w="0" w:type="dxa"/>
          <w:right w:w="0" w:type="dxa"/>
        </w:tblCellMar>
      </w:tblPr>
      <w:tblGrid>
        <w:gridCol w:w="3515"/>
        <w:gridCol w:w="60"/>
        <w:gridCol w:w="740"/>
        <w:gridCol w:w="60"/>
        <w:gridCol w:w="2630"/>
      </w:tblGrid>
      <w:tr>
        <w:trPr/>
        <w:tc>
          <w:tcPr>
            <w:tcW w:w="3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515" w:type="dxa"/>
            <w:tcBorders/>
            <w:vAlign w:val="center"/>
          </w:tcPr>
          <w:p>
            <w:pPr>
              <w:pStyle w:val="TableContents"/>
              <w:bidi w:val="0"/>
              <w:spacing w:before="0" w:after="283"/>
              <w:jc w:val="center"/>
              <w:rPr/>
            </w:pPr>
            <w:r>
              <w:rPr/>
              <w:t>Common Stock (Par Value $0.0001)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NTLA</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2026 (the “Closing Date”), Intellia Therapeutics, Inc. (the “Company” or “Intellia”) entered into a Credit Agreement (the “Credit Agreement”) with the lenders from time to time party thereto (“Lenders”), and OrbiMed Royalty &amp; Credit Opportunities V, LP, as administrative agent (“Administrative Agent”). OrbiMed Royalty &amp; Credit Opportunities IV, LP, and OrbiMed Royalty &amp; Credit Opportunities V, LP, are the initial Lenders. The Credit Agreement provides the Company with a five-year senior secured credit facility of up to $400 million (the “Credit Facility”), available in the following tranches: (1) $75 million drawn on the Closing Date, (2) a potential additional $75 million draw at the Company’s option upon the approval by the U.S. Food and Drug Administration (“FDA”) of the Company’s biologics license application (“BLA”) for lonvoguran ziclumeran (“lonvo-z”) prior to a certain date, (3) three potential additional $40 million draws at the Company’s option upon achieving certain revenue targets for lonvo-z prior to certain dates, (4) a potential additional $30 million draw at the Company’s option upon achieving an equity fundraising target prior to a certain date, and (5) an uncommitted additional incremental facility up to $100 million subject to mutual agreement among the Company and the Lenders. The proceeds of the Credit Facility will be used for the working capital needs and general corporate purposes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Credit Facility matures on September 4, 2031 (the “Maturity Date”), and the entire then-outstanding principal amount of the loans will be due on the Maturity Date. Loans outstanding under the Credit Facility bear interest, payable monthly, at a rate per annum equal to (1) the greater of (a) 3.00% or (b) the one-month SOFR rate applicable to such period plus (2) an applicable margin of 6.15%. In addition, the Company is required to pay certain customary commitment, administrative, undrawn amount and facility fees in connection with the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elect to prepay all or any portion of the amounts owed prior to the Maturity Date subject to a repayment premium or exit fee, as applicable, as well as from accrued interest on the principal amount repaid or prepaid. The Credit Facility is also subject to customary mandatory prepayments with the proceeds of indebtedness and certain asset sales and casualty events. </w:t>
      </w:r>
    </w:p>
    <w:p>
      <w:pPr>
        <w:pStyle w:val="TextBody"/>
        <w:bidi w:val="0"/>
        <w:spacing w:before="240" w:after="0"/>
        <w:jc w:val="left"/>
        <w:rPr>
          <w:rFonts w:ascii="Times New Roman" w:hAnsi="Times New Roman"/>
          <w:sz w:val="20"/>
        </w:rPr>
      </w:pPr>
      <w:r>
        <w:rPr>
          <w:rFonts w:ascii="Times New Roman" w:hAnsi="Times New Roman"/>
          <w:sz w:val="20"/>
        </w:rPr>
        <w:t xml:space="preserve">All obligations under the Credit Agreement are secured on a first-priority basis, subject to certain exceptions, by security interests in substantially all assets of the Company, including its intellectual property. In addition, the Credit Agreement contains customary covenants, including, without limitation, (i) financial covenants to (1) maintain liquidity of at least $50 million in controlled accounts until the FDA approves the BLA for lonvo-z and (2) either achieve certain revenue targets, maintain certain market capitalization thresholds or maintain the outstanding loan principal in cash equivalents in controlled accounts, and (ii) negative covenants that, subject to certain exceptions, restrict the Company’s ability to incur additional indebtedness, grant liens, make investments (including acquisitions), effectuate mergers or consolidations, engage in asset sales and licensing transactions, pay dividends, terminate or modify certain material agreements, pay subordinated indebtedness, and undertake other matters customarily restricted in such agreements. The exceptions to incurring additional indebtedness and granting liens include an exception allowing the Company to enter synthetic royalty transactions, subject to certain restrictions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the Company and its subsidiaries, and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Credit Agreement and Credit Facility is a summary only and is qualified in its entirety by reference to the Credit Agreement, which will be filed as an exhibit to the Company’s Quarterly Report on Form 10-Q for the quarter ending September 30, 2026.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of this Current Report on Form 8-K is incorporated by reference into this Item 2.03.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2026, Intellia issued a press release titled “Intellia Therapeutics Secures Non-Dilutive Debt Facility with OrbiMed for up to $400 Million.” A copy of the press release is furnished as Exhibit 99.1 to this Current Report on Form 8-K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The information under this Item 7.01, including Exhibit 99.1 hereto, is being furnished herewith and shall not be deemed “filed” for the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and certain of the materials furnished or filed herewith contain forward-looking statements within the meaning of the Private Securities Litigation Reform Act of 1995, as amended.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such as those related to Intellia’s strategy, business plans, and focus; the expected benefits and use of proceeds of the Credit Facility; Intellia’s ability to satisfy the conditions for additional draws under the Credit Facility, including its ability to achieve applicable regulatory, revenue and equity financing milestones; the availability of the additional $100 million subject to mutual agreement among Intellia and the Lenders; and the potential approval of lonvoguran ziclumeran for the treatment of hereditary angioedema, are subject to a number of risks, uncertainties and important factors that may cause actual events or results to differ materially from those expressed or implied by any forward-looking statements, including, without limitation, uncertainties related to market conditions. These and other risks and uncertainties are described in greater detail in the section entitled “Risk Factors” in Intellia’s most recent annual report on Form 10-K filed with the U.S. Securities and Exchange Commission (“SEC”), as well as discussions of potential risks, uncertainties, and other important factors in Intellia’s other filings with the SEC, including its recent quarterly report on Form 10-Q. Any forward-looking statements represent Intellia’s views only as of the date hereof and should not be relied upon as representing its views as of any subsequent date. Intellia explicitly disclaims any obligation to update any forward-looking statements,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93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0798dex991.htm">
              <w:r>
                <w:rPr>
                  <w:rStyle w:val="InternetLink"/>
                </w:rPr>
                <w:t>Press release, dated September 4, 2026, titled “Intellia Therapeutics Secures Non-Dilutive Debt Facility with OrbiMed for up to $400 Million.”</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148"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419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15" w:type="dxa"/>
            <w:gridSpan w:val="3"/>
            <w:tcBorders/>
            <w:vAlign w:val="center"/>
          </w:tcPr>
          <w:p>
            <w:pPr>
              <w:pStyle w:val="TableContents"/>
              <w:bidi w:val="0"/>
              <w:spacing w:before="0" w:after="283"/>
              <w:jc w:val="left"/>
              <w:rPr/>
            </w:pPr>
            <w:r>
              <w:rPr/>
              <w:t>Intellia Therapeutics,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M. Leonard</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John M. Leonard</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Chief Executive Officer and President</w:t>
            </w:r>
          </w:p>
        </w:tc>
      </w:tr>
    </w:tbl>
    <w:p>
      <w:pPr>
        <w:pStyle w:val="TextBody"/>
        <w:bidi w:val="0"/>
        <w:spacing w:before="0" w:after="0"/>
        <w:jc w:val="right"/>
        <w:rPr>
          <w:rFonts w:ascii="Times New Roman" w:hAnsi="Times New Roman"/>
          <w:b/>
          <w:sz w:val="20"/>
        </w:rPr>
      </w:pPr>
      <w:bookmarkStart w:id="2" w:name="d110798dex991.htm"/>
      <w:bookmarkStart w:id="3" w:name="ksd11079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886575" cy="1200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86575" cy="12001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Intellia Therapeutics Secures Non-Dilutive </w:t>
      </w:r>
    </w:p>
    <w:p>
      <w:pPr>
        <w:pStyle w:val="TextBody"/>
        <w:bidi w:val="0"/>
        <w:spacing w:before="0" w:after="0"/>
        <w:jc w:val="center"/>
        <w:rPr>
          <w:rFonts w:ascii="Times New Roman" w:hAnsi="Times New Roman"/>
          <w:b/>
          <w:sz w:val="20"/>
        </w:rPr>
      </w:pPr>
      <w:r>
        <w:rPr>
          <w:rFonts w:ascii="Times New Roman" w:hAnsi="Times New Roman"/>
          <w:b/>
          <w:sz w:val="20"/>
        </w:rPr>
        <w:t xml:space="preserve">Debt Facility with OrbiMed for up to $400 Million </w:t>
      </w:r>
    </w:p>
    <w:p>
      <w:pPr>
        <w:pStyle w:val="TextBody"/>
        <w:bidi w:val="0"/>
        <w:spacing w:before="240" w:after="0"/>
        <w:jc w:val="center"/>
        <w:rPr>
          <w:rFonts w:ascii="Times New Roman" w:hAnsi="Times New Roman"/>
          <w:i/>
          <w:sz w:val="20"/>
        </w:rPr>
      </w:pPr>
      <w:r>
        <w:rPr>
          <w:rFonts w:ascii="Times New Roman" w:hAnsi="Times New Roman"/>
          <w:i/>
          <w:sz w:val="20"/>
        </w:rPr>
        <w:t xml:space="preserve">$75 million funded upfront with an additional $325 million tied to milestones, providing </w:t>
      </w:r>
    </w:p>
    <w:p>
      <w:pPr>
        <w:pStyle w:val="TextBody"/>
        <w:bidi w:val="0"/>
        <w:spacing w:before="0" w:after="0"/>
        <w:jc w:val="center"/>
        <w:rPr>
          <w:rFonts w:ascii="Times New Roman" w:hAnsi="Times New Roman"/>
          <w:i/>
          <w:sz w:val="20"/>
        </w:rPr>
      </w:pPr>
      <w:r>
        <w:rPr>
          <w:rFonts w:ascii="Times New Roman" w:hAnsi="Times New Roman"/>
          <w:i/>
          <w:sz w:val="20"/>
        </w:rPr>
        <w:t xml:space="preserve">strategic flexibility through anticipated value inflection points </w:t>
      </w:r>
    </w:p>
    <w:p>
      <w:pPr>
        <w:pStyle w:val="TextBody"/>
        <w:bidi w:val="0"/>
        <w:spacing w:before="240" w:after="0"/>
        <w:jc w:val="left"/>
        <w:rPr>
          <w:rFonts w:ascii="Times New Roman" w:hAnsi="Times New Roman"/>
          <w:sz w:val="20"/>
        </w:rPr>
      </w:pPr>
      <w:r>
        <w:rPr>
          <w:rFonts w:ascii="Times New Roman" w:hAnsi="Times New Roman"/>
          <w:sz w:val="20"/>
        </w:rPr>
        <w:t xml:space="preserve">CAMBRIDGE, Mass., September 4, 2026—Intellia Therapeutics, Inc. (Nasdaq: NTLA), a leading biopharmaceutical company focused on revolutionizing medicine leveraging CRISPR gene editing and other core technologies, today announced that it has entered into a $400 million non-dilutive senior secured term loan facility with OrbiMed, a leading global healthcare investment firm. The transaction provides Intellia with greater financial and operational flexibility as it advances toward several key milestones, including a planned U.S. approval and commercial launch of lonvoguran ziclumeran (lonvo-z) as a one-time treatment for patients with hereditary angioedema (HAE). </w:t>
      </w:r>
    </w:p>
    <w:p>
      <w:pPr>
        <w:pStyle w:val="TextBody"/>
        <w:bidi w:val="0"/>
        <w:spacing w:before="240" w:after="0"/>
        <w:jc w:val="left"/>
        <w:rPr/>
      </w:pPr>
      <w:r>
        <w:rPr/>
        <w:t>“</w:t>
      </w:r>
      <w:r>
        <w:rPr>
          <w:rFonts w:ascii="Times New Roman" w:hAnsi="Times New Roman"/>
          <w:sz w:val="20"/>
        </w:rPr>
        <w:t xml:space="preserve">Lonvo-z has the potential to transform the treatment paradigm for people living with HAE as well as the future capital needs of our company,” said Edward Dulac, Intellia’s Chief Financial Officer. “This non-dilutive financing enables us to more freely execute our plan to successfully launch lonvo-z in HAE, advance nexiguran ziclumeran through multiple important milestones in transthyretin amyloidosis and create value through our early pipeline development efforts.” </w:t>
      </w:r>
    </w:p>
    <w:p>
      <w:pPr>
        <w:pStyle w:val="TextBody"/>
        <w:bidi w:val="0"/>
        <w:spacing w:before="240" w:after="0"/>
        <w:jc w:val="left"/>
        <w:rPr/>
      </w:pPr>
      <w:r>
        <w:rPr/>
        <w:t>“</w:t>
      </w:r>
      <w:r>
        <w:rPr>
          <w:rFonts w:ascii="Times New Roman" w:hAnsi="Times New Roman"/>
          <w:sz w:val="20"/>
        </w:rPr>
        <w:t xml:space="preserve">OrbiMed is proud to partner with Intellia Therapeutics, a well-recognized leader in the </w:t>
      </w:r>
      <w:r>
        <w:rPr>
          <w:rFonts w:ascii="Times New Roman" w:hAnsi="Times New Roman"/>
          <w:i/>
          <w:sz w:val="20"/>
        </w:rPr>
        <w:t>in vivo</w:t>
      </w:r>
      <w:r>
        <w:rPr>
          <w:rFonts w:ascii="Times New Roman" w:hAnsi="Times New Roman"/>
          <w:sz w:val="20"/>
        </w:rPr>
        <w:t xml:space="preserve"> gene editing revolution,” said Matthew Rizzo, General Partner at OrbiMed. “We are looking forward to supporting the team as it approaches a number of exciting and transformational milestones.”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5"/>
        <w:gridCol w:w="120"/>
        <w:gridCol w:w="4980"/>
      </w:tblGrid>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0"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Page 1 of 4</w:t>
            </w:r>
          </w:p>
        </w:tc>
        <w:tc>
          <w:tcPr>
            <w:tcW w:w="120" w:type="dxa"/>
            <w:tcBorders/>
            <w:vAlign w:val="bottom"/>
          </w:tcPr>
          <w:p>
            <w:pPr>
              <w:pStyle w:val="TableContents"/>
              <w:bidi w:val="0"/>
              <w:spacing w:before="0" w:after="283"/>
              <w:jc w:val="left"/>
              <w:rPr/>
            </w:pPr>
            <w:r>
              <w:rPr/>
              <w:t>  </w:t>
            </w:r>
          </w:p>
        </w:tc>
        <w:tc>
          <w:tcPr>
            <w:tcW w:w="4980" w:type="dxa"/>
            <w:tcBorders/>
            <w:vAlign w:val="bottom"/>
          </w:tcPr>
          <w:p>
            <w:pPr>
              <w:pStyle w:val="TableContents"/>
              <w:bidi w:val="0"/>
              <w:spacing w:before="0" w:after="283"/>
              <w:jc w:val="right"/>
              <w:rPr/>
            </w:pPr>
            <w:r>
              <w:rPr/>
              <w:t>intelliatx.com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facility includes an initial term loan of $75 million that was funded at closing; 5 additional tranches totaling up to $225 million that can be drawn at Intellia’s option subject to its achievement of specified milestones related primarily to lonvo-z; and an additional $100 million available subject to mutual agreement between the parties during the five-year term of the agreement. Additional details of the loan agreement will be filed with the Securities and Exchange Commission on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TD Cowen acted as exclusive financial advisor to Intellia on the transaction. Goodwin Procter LLP acted as legal advisor to Intellia. Covington &amp; Burling LLP acted as legal advisor to OrbiMed. </w:t>
      </w:r>
    </w:p>
    <w:p>
      <w:pPr>
        <w:pStyle w:val="TextBody"/>
        <w:bidi w:val="0"/>
        <w:spacing w:before="360" w:after="0"/>
        <w:jc w:val="left"/>
        <w:rPr>
          <w:rFonts w:ascii="Times New Roman" w:hAnsi="Times New Roman"/>
          <w:b/>
          <w:sz w:val="20"/>
        </w:rPr>
      </w:pPr>
      <w:r>
        <w:rPr>
          <w:rFonts w:ascii="Times New Roman" w:hAnsi="Times New Roman"/>
          <w:b/>
          <w:sz w:val="20"/>
        </w:rPr>
        <w:t xml:space="preserve">About Lonvo-z </w:t>
      </w:r>
    </w:p>
    <w:p>
      <w:pPr>
        <w:pStyle w:val="TextBody"/>
        <w:bidi w:val="0"/>
        <w:spacing w:before="120" w:after="0"/>
        <w:jc w:val="left"/>
        <w:rPr>
          <w:rFonts w:ascii="Times New Roman" w:hAnsi="Times New Roman"/>
          <w:sz w:val="20"/>
        </w:rPr>
      </w:pPr>
      <w:r>
        <w:rPr>
          <w:rFonts w:ascii="Times New Roman" w:hAnsi="Times New Roman"/>
          <w:sz w:val="20"/>
        </w:rPr>
        <w:t xml:space="preserve">Based on Nobel Prize-winning CRISPR/Cas9 technology, lonvo-z has the potential to become the first one-time treatment for hereditary angioedema (HAE). Lonvo-z is an </w:t>
      </w:r>
      <w:r>
        <w:rPr>
          <w:rFonts w:ascii="Times New Roman" w:hAnsi="Times New Roman"/>
          <w:i/>
          <w:sz w:val="20"/>
        </w:rPr>
        <w:t>in vivo</w:t>
      </w:r>
      <w:r>
        <w:rPr>
          <w:rFonts w:ascii="Times New Roman" w:hAnsi="Times New Roman"/>
          <w:sz w:val="20"/>
        </w:rPr>
        <w:t xml:space="preserve"> CRISPR gene editing candidate that is intended to permanently lower kallikrein by inactivating the </w:t>
      </w:r>
      <w:r>
        <w:rPr>
          <w:rFonts w:ascii="Times New Roman" w:hAnsi="Times New Roman"/>
          <w:i/>
          <w:sz w:val="20"/>
        </w:rPr>
        <w:t>kallikrein B1</w:t>
      </w:r>
      <w:r>
        <w:rPr>
          <w:rFonts w:ascii="Times New Roman" w:hAnsi="Times New Roman"/>
          <w:sz w:val="20"/>
        </w:rPr>
        <w:t xml:space="preserve"> (</w:t>
      </w:r>
      <w:r>
        <w:rPr>
          <w:rFonts w:ascii="Times New Roman" w:hAnsi="Times New Roman"/>
          <w:i/>
          <w:sz w:val="20"/>
        </w:rPr>
        <w:t>KLKB1</w:t>
      </w:r>
      <w:r>
        <w:rPr>
          <w:rFonts w:ascii="Times New Roman" w:hAnsi="Times New Roman"/>
          <w:sz w:val="20"/>
        </w:rPr>
        <w:t xml:space="preserve">) gene with a single dose that is administered in an outpatient setting. Lonvo-z has received five notable regulatory designations: Orphan Drug and RMAT Designation by the U.S. Food and Drug Administration (FDA), the Innovation Passport by the U.K. Medicines and Healthcare products Regulatory Agency (MHRA), Priority Medicines (PRIME) Designation by the European Medicines Agency, as well as Orphan Drug Designation (ODD) by the European Commission.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Intellia Therapeutics </w:t>
      </w:r>
    </w:p>
    <w:p>
      <w:pPr>
        <w:pStyle w:val="TextBody"/>
        <w:bidi w:val="0"/>
        <w:spacing w:before="120" w:after="0"/>
        <w:jc w:val="left"/>
        <w:rPr>
          <w:rFonts w:ascii="Times New Roman" w:hAnsi="Times New Roman"/>
          <w:sz w:val="20"/>
        </w:rPr>
      </w:pPr>
      <w:r>
        <w:rPr>
          <w:rFonts w:ascii="Times New Roman" w:hAnsi="Times New Roman"/>
          <w:sz w:val="20"/>
        </w:rPr>
        <w:t xml:space="preserve">Intellia Therapeutics, Inc. (Nasdaq: NTLA) is a leading clinical-stage biopharmaceutical company focused on revolutionizing medicine leveraging CRISPR gene editing and other core technologies. The company’s mission is to transform the lives of people with severe diseases by developing and commercializing potentially curative treatments. With deep scientific, technical and clinical development experience, Intellia aims to reset the standard for medicine by durably treating the root causes of disease. Learn more at intelliatx.com and follow us @intelliatx.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5"/>
        <w:gridCol w:w="120"/>
        <w:gridCol w:w="4980"/>
      </w:tblGrid>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0"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Page 2 of 4</w:t>
            </w:r>
          </w:p>
        </w:tc>
        <w:tc>
          <w:tcPr>
            <w:tcW w:w="120" w:type="dxa"/>
            <w:tcBorders/>
            <w:vAlign w:val="bottom"/>
          </w:tcPr>
          <w:p>
            <w:pPr>
              <w:pStyle w:val="TableContents"/>
              <w:bidi w:val="0"/>
              <w:spacing w:before="0" w:after="283"/>
              <w:jc w:val="left"/>
              <w:rPr/>
            </w:pPr>
            <w:r>
              <w:rPr/>
              <w:t>  </w:t>
            </w:r>
          </w:p>
        </w:tc>
        <w:tc>
          <w:tcPr>
            <w:tcW w:w="4980" w:type="dxa"/>
            <w:tcBorders/>
            <w:vAlign w:val="bottom"/>
          </w:tcPr>
          <w:p>
            <w:pPr>
              <w:pStyle w:val="TableContents"/>
              <w:bidi w:val="0"/>
              <w:spacing w:before="0" w:after="283"/>
              <w:jc w:val="right"/>
              <w:rPr/>
            </w:pPr>
            <w:r>
              <w:rPr/>
              <w:t>intelliatx.com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concerning: the expected benefits of the senior secured term loan facility, including the extent to which the facility may provide Intellia with financial, operational and strategic flexibility and enable Intellia to execute its plans and advance its programs through anticipated value inflection points; Intellia’s ability to achieve the applicable milestones and satisfy the other conditions required to access the additional $225 million under the facility; the availability of an additional $100 million subject to mutual agreement between the parties; the success and advancement of its program for lonvoguran ziclumeran or “lonvo-z” (formerly known as NTLA-2002) for the treatment of hereditary angioedema (“HAE”), including its expectations regarding review and approval of the biologics license application for lonvo-z, its ability to successfully launch lonvo-z in HAE, its belief that lonvo-z has the potential to transform the treatment paradigm for people living with HAE as well as the Company’s future capital needs, lonvo-z’s potential to become the first one-time treatment for HAE, and the potential for lonvo-z to permanently lower kallikrein by inactivating the kallikrein B1 (KLKB1) gene following a single dose; its ability to advance nexiguran ziclumeran or “nex-z” (formerly known as NTLA-2001) through multiple important milestones in transthyretin amyloidosis; and its ability to create value through its early pipeline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risks related to Intellia’s ability to achieve the applicable milestones and satisfy the other conditions required to access additional tranches under the loan facility; the possibility that Intellia and OrbiMed will not mutually agree to make the additional $100 million available; risks associated with Intellia’s indebtedness, including its debt-service obligations, restrictive covenants, security interests and the potential for default; the possibility that the loan facility will not provide the anticipated financial, operational or strategic flexibility or enable Intellia to execute its plans as expected; uncertainties related to the conduct of clinical studies and other development and commercialization requirements for its product candidates, including lonvo-z and nex-z, including risks related to the ability to develop and successfully commercialize lonvo-z or any of Intellia’s product candidates;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risks related to the results of preclinical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5"/>
        <w:gridCol w:w="120"/>
        <w:gridCol w:w="4980"/>
      </w:tblGrid>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0"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Page 3 of 4</w:t>
            </w:r>
          </w:p>
        </w:tc>
        <w:tc>
          <w:tcPr>
            <w:tcW w:w="120" w:type="dxa"/>
            <w:tcBorders/>
            <w:vAlign w:val="bottom"/>
          </w:tcPr>
          <w:p>
            <w:pPr>
              <w:pStyle w:val="TableContents"/>
              <w:bidi w:val="0"/>
              <w:spacing w:before="0" w:after="283"/>
              <w:jc w:val="left"/>
              <w:rPr/>
            </w:pPr>
            <w:r>
              <w:rPr/>
              <w:t>  </w:t>
            </w:r>
          </w:p>
        </w:tc>
        <w:tc>
          <w:tcPr>
            <w:tcW w:w="4980" w:type="dxa"/>
            <w:tcBorders/>
            <w:vAlign w:val="bottom"/>
          </w:tcPr>
          <w:p>
            <w:pPr>
              <w:pStyle w:val="TableContents"/>
              <w:bidi w:val="0"/>
              <w:spacing w:before="0" w:after="283"/>
              <w:jc w:val="right"/>
              <w:rPr/>
            </w:pPr>
            <w:r>
              <w:rPr/>
              <w:t>intelliatx.com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studies or clinical studies not being predictive of future results in connection with future studies; the risk that clinical study results will not be positive; and risks related to the potential delay of planned clinical trials or regulatory filings due to regulatory feedback or other developments.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as well as discussions of potential risks, uncertainties, and other important factors in Intellia’s other filings with the Securities and Exchange Commission, including its recent quarterly report on Form 10-Q. All information in this press release is as of the date of the release, and Intellia undertakes no duty to update this information unless required by law. </w:t>
      </w:r>
    </w:p>
    <w:p>
      <w:pPr>
        <w:pStyle w:val="TextBody"/>
        <w:bidi w:val="0"/>
        <w:spacing w:before="240" w:after="0"/>
        <w:jc w:val="left"/>
        <w:rPr>
          <w:rFonts w:ascii="Times New Roman" w:hAnsi="Times New Roman"/>
          <w:b/>
          <w:i/>
          <w:sz w:val="20"/>
        </w:rPr>
      </w:pPr>
      <w:r>
        <w:rPr>
          <w:rFonts w:ascii="Times New Roman" w:hAnsi="Times New Roman"/>
          <w:b/>
          <w:i/>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Jason Fredette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and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Intellia Therapeutics, Inc. </w:t>
      </w:r>
    </w:p>
    <w:p>
      <w:pPr>
        <w:pStyle w:val="TextBody"/>
        <w:bidi w:val="0"/>
        <w:spacing w:before="0" w:after="0"/>
        <w:jc w:val="left"/>
        <w:rPr>
          <w:rFonts w:ascii="Times New Roman" w:hAnsi="Times New Roman"/>
          <w:sz w:val="20"/>
        </w:rPr>
      </w:pPr>
      <w:r>
        <w:rPr>
          <w:rFonts w:ascii="Times New Roman" w:hAnsi="Times New Roman"/>
          <w:sz w:val="20"/>
          <w:u w:val="single"/>
        </w:rPr>
        <w:t>jason.fredette@intelliatx.com</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Mike Tattory </w:t>
      </w:r>
    </w:p>
    <w:p>
      <w:pPr>
        <w:pStyle w:val="TextBody"/>
        <w:bidi w:val="0"/>
        <w:spacing w:before="0" w:after="0"/>
        <w:jc w:val="left"/>
        <w:rPr>
          <w:rFonts w:ascii="Times New Roman" w:hAnsi="Times New Roman"/>
          <w:sz w:val="20"/>
        </w:rPr>
      </w:pPr>
      <w:r>
        <w:rPr>
          <w:rFonts w:ascii="Times New Roman" w:hAnsi="Times New Roman"/>
          <w:sz w:val="20"/>
        </w:rPr>
        <w:t xml:space="preserve">Vice President </w:t>
      </w:r>
    </w:p>
    <w:p>
      <w:pPr>
        <w:pStyle w:val="TextBody"/>
        <w:bidi w:val="0"/>
        <w:spacing w:before="0" w:after="0"/>
        <w:jc w:val="left"/>
        <w:rPr>
          <w:rFonts w:ascii="Times New Roman" w:hAnsi="Times New Roman"/>
          <w:sz w:val="20"/>
        </w:rPr>
      </w:pPr>
      <w:r>
        <w:rPr>
          <w:rFonts w:ascii="Times New Roman" w:hAnsi="Times New Roman"/>
          <w:sz w:val="20"/>
        </w:rPr>
        <w:t xml:space="preserve">LifeSci Communications </w:t>
      </w:r>
    </w:p>
    <w:p>
      <w:pPr>
        <w:pStyle w:val="TextBody"/>
        <w:bidi w:val="0"/>
        <w:spacing w:before="0" w:after="0"/>
        <w:jc w:val="left"/>
        <w:rPr>
          <w:rFonts w:ascii="Times New Roman" w:hAnsi="Times New Roman"/>
          <w:sz w:val="20"/>
        </w:rPr>
      </w:pPr>
      <w:r>
        <w:rPr>
          <w:rFonts w:ascii="Times New Roman" w:hAnsi="Times New Roman"/>
          <w:sz w:val="20"/>
        </w:rPr>
        <w:t>mtattory@lifescicomms.com</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5"/>
        <w:gridCol w:w="120"/>
        <w:gridCol w:w="4980"/>
      </w:tblGrid>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0"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Page 4 of 4</w:t>
            </w:r>
          </w:p>
        </w:tc>
        <w:tc>
          <w:tcPr>
            <w:tcW w:w="120" w:type="dxa"/>
            <w:tcBorders/>
            <w:vAlign w:val="bottom"/>
          </w:tcPr>
          <w:p>
            <w:pPr>
              <w:pStyle w:val="TableContents"/>
              <w:bidi w:val="0"/>
              <w:spacing w:before="0" w:after="283"/>
              <w:jc w:val="left"/>
              <w:rPr/>
            </w:pPr>
            <w:r>
              <w:rPr/>
              <w:t>  </w:t>
            </w:r>
          </w:p>
        </w:tc>
        <w:tc>
          <w:tcPr>
            <w:tcW w:w="4980" w:type="dxa"/>
            <w:tcBorders/>
            <w:vAlign w:val="bottom"/>
          </w:tcPr>
          <w:p>
            <w:pPr>
              <w:pStyle w:val="TableContents"/>
              <w:bidi w:val="0"/>
              <w:spacing w:before="0" w:after="283"/>
              <w:jc w:val="right"/>
              <w:rPr/>
            </w:pPr>
            <w:r>
              <w:rPr/>
              <w:t>intelliatx.com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2749</Words>
  <Characters>16143</Characters>
  <CharactersWithSpaces>18891</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