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tla-20260630.htm"/>
      <w:bookmarkStart w:id="1" w:name="ksntla20260630"/>
      <w:bookmarkEnd w:id="0"/>
      <w:bookmarkEnd w:id="1"/>
      <w:r>
        <w:rPr/>
        <w:t> </w:t>
      </w:r>
    </w:p>
    <w:p>
      <w:pPr>
        <w:pStyle w:val="TextBody"/>
        <w:bidi w:val="0"/>
        <w:jc w:val="center"/>
        <w:rPr/>
      </w:pPr>
      <w:r>
        <w:rPr/>
        <w:t> </w:t>
      </w:r>
    </w:p>
    <w:p>
      <w:pPr>
        <w:pStyle w:val="TextBody"/>
        <w:pBdr>
          <w:bottom w:val="double" w:sz="4" w:space="1" w:color="000000"/>
        </w:pBdr>
        <w:bidi w:val="0"/>
        <w:jc w:val="center"/>
        <w:rPr/>
      </w:pPr>
      <w:r>
        <w:rPr/>
        <w:t> </w:t>
      </w:r>
    </w:p>
    <w:p>
      <w:pPr>
        <w:pStyle w:val="TextBody"/>
        <w:bidi w:val="0"/>
        <w:spacing w:before="120" w:after="283"/>
        <w:jc w:val="center"/>
        <w:rPr>
          <w:rFonts w:ascii="Times New Roman" w:hAnsi="Times New Roman"/>
          <w:b/>
          <w:color w:val="000000"/>
          <w:sz w:val="30"/>
        </w:rPr>
      </w:pPr>
      <w:r>
        <w:rPr>
          <w:rFonts w:ascii="Times New Roman" w:hAnsi="Times New Roman"/>
          <w:b/>
          <w:color w:val="000000"/>
          <w:sz w:val="30"/>
        </w:rPr>
        <w:t>UNITED STATES</w:t>
      </w:r>
    </w:p>
    <w:p>
      <w:pPr>
        <w:pStyle w:val="Heading2"/>
        <w:bidi w:val="0"/>
        <w:jc w:val="center"/>
        <w:rPr>
          <w:rFonts w:ascii="Times New Roman" w:hAnsi="Times New Roman"/>
          <w:color w:val="000000"/>
          <w:sz w:val="30"/>
        </w:rPr>
      </w:pPr>
      <w:r>
        <w:rPr>
          <w:rFonts w:ascii="Times New Roman" w:hAnsi="Times New Roman"/>
          <w:color w:val="000000"/>
          <w:sz w:val="30"/>
        </w:rPr>
        <w:t>SECURITIES AND EXCHANGE COMMISSION</w:t>
      </w:r>
    </w:p>
    <w:p>
      <w:pPr>
        <w:pStyle w:val="Heading1"/>
        <w:bidi w:val="0"/>
        <w:jc w:val="center"/>
        <w:rPr>
          <w:rFonts w:ascii="Times New Roman" w:hAnsi="Times New Roman"/>
          <w:color w:val="000000"/>
          <w:sz w:val="22"/>
        </w:rPr>
      </w:pPr>
      <w:r>
        <w:rPr>
          <w:rFonts w:ascii="Times New Roman" w:hAnsi="Times New Roman"/>
          <w:color w:val="000000"/>
          <w:sz w:val="22"/>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0"/>
        </w:rPr>
      </w:pPr>
      <w:r>
        <w:rPr>
          <w:rFonts w:ascii="Times New Roman" w:hAnsi="Times New Roman"/>
          <w:b/>
          <w:color w:val="000000"/>
          <w:sz w:val="30"/>
        </w:rPr>
        <w:t>FORM 10-Q</w:t>
      </w:r>
    </w:p>
    <w:p>
      <w:pPr>
        <w:pStyle w:val="TextBody"/>
        <w:pBdr>
          <w:bottom w:val="single" w:sz="4" w:space="1" w:color="000000"/>
        </w:pBdr>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6"/>
        <w:gridCol w:w="9649"/>
      </w:tblGrid>
      <w:tr>
        <w:trPr/>
        <w:tc>
          <w:tcPr>
            <w:tcW w:w="556" w:type="dxa"/>
            <w:tcBorders/>
            <w:vAlign w:val="center"/>
          </w:tcPr>
          <w:p>
            <w:pPr>
              <w:pStyle w:val="TableContents"/>
              <w:bidi w:val="0"/>
              <w:spacing w:before="0" w:after="283"/>
              <w:jc w:val="left"/>
              <w:rPr>
                <w:sz w:val="4"/>
                <w:szCs w:val="4"/>
              </w:rPr>
            </w:pPr>
            <w:r>
              <w:rPr>
                <w:sz w:val="4"/>
                <w:szCs w:val="4"/>
              </w:rPr>
            </w:r>
          </w:p>
        </w:tc>
        <w:tc>
          <w:tcPr>
            <w:tcW w:w="9649"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Heading1"/>
              <w:bidi w:val="0"/>
              <w:spacing w:before="240" w:after="283"/>
              <w:jc w:val="left"/>
              <w:rPr>
                <w:color w:val="000000"/>
              </w:rPr>
            </w:pPr>
            <w:r>
              <w:rPr>
                <w:color w:val="000000"/>
              </w:rPr>
              <w:t>☒</w:t>
            </w:r>
          </w:p>
        </w:tc>
        <w:tc>
          <w:tcPr>
            <w:tcW w:w="9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6"/>
        <w:gridCol w:w="9649"/>
      </w:tblGrid>
      <w:tr>
        <w:trPr/>
        <w:tc>
          <w:tcPr>
            <w:tcW w:w="556" w:type="dxa"/>
            <w:tcBorders/>
            <w:vAlign w:val="center"/>
          </w:tcPr>
          <w:p>
            <w:pPr>
              <w:pStyle w:val="TableContents"/>
              <w:bidi w:val="0"/>
              <w:spacing w:before="0" w:after="283"/>
              <w:jc w:val="left"/>
              <w:rPr>
                <w:sz w:val="4"/>
                <w:szCs w:val="4"/>
              </w:rPr>
            </w:pPr>
            <w:r>
              <w:rPr>
                <w:sz w:val="4"/>
                <w:szCs w:val="4"/>
              </w:rPr>
            </w:r>
          </w:p>
        </w:tc>
        <w:tc>
          <w:tcPr>
            <w:tcW w:w="9649"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Heading1"/>
              <w:bidi w:val="0"/>
              <w:spacing w:before="240" w:after="283"/>
              <w:jc w:val="left"/>
              <w:rPr>
                <w:color w:val="000000"/>
              </w:rPr>
            </w:pPr>
            <w:r>
              <w:rPr>
                <w:color w:val="000000"/>
              </w:rPr>
              <w:t>☐</w:t>
            </w:r>
          </w:p>
        </w:tc>
        <w:tc>
          <w:tcPr>
            <w:tcW w:w="9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Commission File Number: 001-37766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0"/>
        </w:rPr>
      </w:pPr>
      <w:r>
        <w:rPr>
          <w:rFonts w:ascii="Times New Roman" w:hAnsi="Times New Roman"/>
          <w:b/>
          <w:color w:val="000000"/>
          <w:sz w:val="40"/>
        </w:rPr>
        <w:t>INTELLIA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612" w:type="dxa"/>
        <w:jc w:val="left"/>
        <w:tblInd w:w="0" w:type="dxa"/>
        <w:tblLayout w:type="fixed"/>
        <w:tblCellMar>
          <w:top w:w="28" w:type="dxa"/>
          <w:left w:w="28" w:type="dxa"/>
          <w:bottom w:w="28" w:type="dxa"/>
          <w:right w:w="28" w:type="dxa"/>
        </w:tblCellMar>
      </w:tblPr>
      <w:tblGrid>
        <w:gridCol w:w="4126"/>
        <w:gridCol w:w="1486"/>
      </w:tblGrid>
      <w:tr>
        <w:trPr/>
        <w:tc>
          <w:tcPr>
            <w:tcW w:w="41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4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36-4785571</w:t>
            </w:r>
          </w:p>
        </w:tc>
      </w:tr>
      <w:tr>
        <w:trPr/>
        <w:tc>
          <w:tcPr>
            <w:tcW w:w="4126" w:type="dxa"/>
            <w:tcBorders/>
            <w:tcMar>
              <w:top w:w="0" w:type="dxa"/>
              <w:left w:w="0" w:type="dxa"/>
              <w:bottom w:w="0" w:type="dxa"/>
              <w:right w:w="0" w:type="dxa"/>
            </w:tcMar>
            <w:vAlign w:val="center"/>
          </w:tcPr>
          <w:p>
            <w:pPr>
              <w:pStyle w:val="TableContents"/>
              <w:bidi w:val="0"/>
              <w:spacing w:before="0" w:after="13"/>
              <w:jc w:val="center"/>
              <w:rPr>
                <w:rFonts w:ascii="Times New Roman" w:hAnsi="Times New Roman"/>
                <w:b/>
                <w:color w:val="000000"/>
                <w:sz w:val="16"/>
              </w:rPr>
            </w:pPr>
            <w:r>
              <w:rPr>
                <w:rFonts w:ascii="Times New Roman" w:hAnsi="Times New Roman"/>
                <w:b/>
                <w:color w:val="000000"/>
                <w:sz w:val="16"/>
              </w:rPr>
              <w:t>(State or other jurisdiction of</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r>
          </w:p>
        </w:tc>
      </w:tr>
      <w:tr>
        <w:trPr/>
        <w:tc>
          <w:tcPr>
            <w:tcW w:w="4126" w:type="dxa"/>
            <w:tcBorders/>
            <w:tcMar>
              <w:top w:w="0" w:type="dxa"/>
              <w:left w:w="0" w:type="dxa"/>
              <w:bottom w:w="0" w:type="dxa"/>
              <w:right w:w="0" w:type="dxa"/>
            </w:tcMar>
            <w:vAlign w:val="center"/>
          </w:tcPr>
          <w:p>
            <w:pPr>
              <w:pStyle w:val="TableContents"/>
              <w:bidi w:val="0"/>
              <w:spacing w:before="0" w:after="1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41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40 Erie Street, Suite 130, Cambridge, Massachusetts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02139</w:t>
            </w:r>
          </w:p>
        </w:tc>
      </w:tr>
      <w:tr>
        <w:trPr/>
        <w:tc>
          <w:tcPr>
            <w:tcW w:w="4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857-285-6200</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both"/>
        <w:rPr/>
      </w:pPr>
      <w:r>
        <w:rPr/>
        <w:t> </w:t>
      </w:r>
    </w:p>
    <w:tbl>
      <w:tblPr>
        <w:tblW w:w="8163" w:type="dxa"/>
        <w:jc w:val="left"/>
        <w:tblInd w:w="0" w:type="dxa"/>
        <w:tblLayout w:type="fixed"/>
        <w:tblCellMar>
          <w:top w:w="28" w:type="dxa"/>
          <w:left w:w="28" w:type="dxa"/>
          <w:bottom w:w="28" w:type="dxa"/>
          <w:right w:w="28" w:type="dxa"/>
        </w:tblCellMar>
      </w:tblPr>
      <w:tblGrid>
        <w:gridCol w:w="3286"/>
        <w:gridCol w:w="1396"/>
        <w:gridCol w:w="3481"/>
      </w:tblGrid>
      <w:tr>
        <w:trPr/>
        <w:tc>
          <w:tcPr>
            <w:tcW w:w="328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Trade Symbol(s)</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39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NTLA</w:t>
            </w:r>
          </w:p>
        </w:tc>
        <w:tc>
          <w:tcPr>
            <w:tcW w:w="348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pStyle w:val="TextBody"/>
        <w:bidi w:val="0"/>
        <w:jc w:val="left"/>
        <w:rPr/>
      </w:pPr>
      <w:r>
        <w:rPr/>
        <w:t> </w:t>
      </w:r>
    </w:p>
    <w:tbl>
      <w:tblPr>
        <w:tblW w:w="5242" w:type="dxa"/>
        <w:jc w:val="left"/>
        <w:tblInd w:w="0" w:type="dxa"/>
        <w:tblLayout w:type="fixed"/>
        <w:tblCellMar>
          <w:top w:w="28" w:type="dxa"/>
          <w:left w:w="28" w:type="dxa"/>
          <w:bottom w:w="28" w:type="dxa"/>
          <w:right w:w="28" w:type="dxa"/>
        </w:tblCellMar>
      </w:tblPr>
      <w:tblGrid>
        <w:gridCol w:w="2101"/>
        <w:gridCol w:w="146"/>
        <w:gridCol w:w="316"/>
        <w:gridCol w:w="146"/>
        <w:gridCol w:w="2026"/>
        <w:gridCol w:w="146"/>
        <w:gridCol w:w="36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Emerging growth company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Act). Yes ☐ 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The number of shares outstanding of the registrant’s common stock as of July 31, 2026: 140,126,693</w:t>
      </w:r>
      <w:r>
        <w:rPr>
          <w:rFonts w:ascii="Times New Roman" w:hAnsi="Times New Roman"/>
          <w:color w:val="000000"/>
          <w:sz w:val="20"/>
        </w:rPr>
        <w:t xml:space="preserve"> </w:t>
      </w:r>
      <w:r>
        <w:rPr>
          <w:rFonts w:ascii="Times New Roman" w:hAnsi="Times New Roman"/>
          <w:color w:val="000000"/>
          <w:sz w:val="18"/>
        </w:rPr>
        <w:t>shares.</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44"/>
        <w:gridCol w:w="361"/>
      </w:tblGrid>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b/>
                  <w:color w:val="0000FF"/>
                  <w:sz w:val="20"/>
                  <w:u w:val="single"/>
                </w:rPr>
                <w:t>PART I - FINANCIAL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b/>
                  <w:color w:val="0000FF"/>
                  <w:sz w:val="20"/>
                  <w:u w:val="single"/>
                </w:rPr>
                <w:t>Item 1. Financial Statements (unaudited)</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_unaudited">
              <w:r>
                <w:rPr>
                  <w:rStyle w:val="InternetLink"/>
                  <w:rFonts w:ascii="Times New Roman" w:hAnsi="Times New Roman"/>
                  <w:color w:val="000080"/>
                  <w:sz w:val="20"/>
                  <w:u w:val="single"/>
                </w:rPr>
                <w:t>Condensed Consolidated Balance Sheets as of June 30, 2026</w:t>
              </w:r>
            </w:hyperlink>
            <w:hyperlink w:anchor="consolidated_balance_sheets_unaudited">
              <w:r>
                <w:rPr>
                  <w:rStyle w:val="InternetLink"/>
                  <w:rFonts w:ascii="Times New Roman" w:hAnsi="Times New Roman"/>
                  <w:color w:val="000080"/>
                  <w:sz w:val="20"/>
                  <w:u w:val="single"/>
                </w:rPr>
                <w:t xml:space="preserve"> and December 31, 2025</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_unaud">
              <w:r>
                <w:rPr>
                  <w:rStyle w:val="InternetLink"/>
                  <w:rFonts w:ascii="Times New Roman" w:hAnsi="Times New Roman"/>
                  <w:color w:val="0000FF"/>
                  <w:sz w:val="20"/>
                  <w:u w:val="single"/>
                </w:rPr>
                <w:t>Condensed Consolidated Statements of Operations and Comprehensive Loss for the Three and Six Months Ended June 30, 2026 and 2025</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consolidated_statements_sse">
              <w:r>
                <w:rPr>
                  <w:rStyle w:val="InternetLink"/>
                  <w:rFonts w:ascii="Times New Roman" w:hAnsi="Times New Roman"/>
                  <w:color w:val="0000FF"/>
                  <w:sz w:val="20"/>
                  <w:u w:val="single"/>
                </w:rPr>
                <w:t>Condensed Consolidated Statements of Stockholders’ Equity for the Six Months Ended June 30, 2026 and 2025</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_unaud">
              <w:r>
                <w:rPr>
                  <w:rStyle w:val="InternetLink"/>
                  <w:rFonts w:ascii="Times New Roman" w:hAnsi="Times New Roman"/>
                  <w:color w:val="000080"/>
                  <w:sz w:val="20"/>
                  <w:u w:val="single"/>
                </w:rPr>
                <w:t>Condensed Consolidated Statements of Cash Flows for the Six</w:t>
              </w:r>
            </w:hyperlink>
            <w:hyperlink w:anchor="consolidated_statements_sse">
              <w:r>
                <w:rPr>
                  <w:rStyle w:val="InternetLink"/>
                  <w:rFonts w:ascii="Times New Roman" w:hAnsi="Times New Roman"/>
                  <w:color w:val="000080"/>
                  <w:sz w:val="20"/>
                  <w:u w:val="single"/>
                </w:rPr>
                <w:t xml:space="preserve"> Months Ended June 30, 2026 and 2025</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Condensed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2_management_discussion_and_analysi">
              <w:r>
                <w:rPr>
                  <w:rStyle w:val="InternetLink"/>
                  <w:rFonts w:ascii="Times New Roman" w:hAnsi="Times New Roman"/>
                  <w:b/>
                  <w:color w:val="0000FF"/>
                  <w:sz w:val="20"/>
                  <w:u w:val="single"/>
                </w:rPr>
                <w:t>Item 2. 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b/>
                  <w:color w:val="0000FF"/>
                  <w:sz w:val="20"/>
                  <w:u w:val="single"/>
                </w:rPr>
                <w:t>Item 3. 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b/>
                  <w:color w:val="0000FF"/>
                  <w:sz w:val="20"/>
                  <w:u w:val="single"/>
                </w:rPr>
                <w:t>Item 4. Controls and Procedures</w:t>
              </w:r>
            </w:hyperlink>
            <w:hyperlink w:anchor="item_4_controls_procedures">
              <w:r>
                <w:rPr>
                  <w:rStyle w:val="InternetLink"/>
                  <w:rFonts w:ascii="Times New Roman" w:hAnsi="Times New Roman"/>
                  <w:color w:val="0000FF"/>
                  <w:sz w:val="20"/>
                  <w:u w:val="single"/>
                </w:rPr>
                <w:t>.</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jc w:val="center"/>
              <w:rPr/>
            </w:pPr>
            <w:hyperlink w:anchor="item_ii_other_information">
              <w:r>
                <w:rPr>
                  <w:rStyle w:val="InternetLink"/>
                  <w:rFonts w:ascii="Times New Roman" w:hAnsi="Times New Roman"/>
                  <w:b/>
                  <w:color w:val="0000FF"/>
                  <w:sz w:val="20"/>
                  <w:u w:val="single"/>
                </w:rPr>
                <w:t>PART II - OTHER INFORMATION</w:t>
              </w:r>
            </w:hyperlink>
          </w:p>
          <w:p>
            <w:pPr>
              <w:pStyle w:val="TableContents"/>
              <w:bidi w:val="0"/>
              <w:spacing w:before="0" w:after="283"/>
              <w:jc w:val="left"/>
              <w:rPr/>
            </w:pPr>
            <w:hyperlink w:anchor="item_1_legal_proceedings">
              <w:r>
                <w:rPr>
                  <w:rStyle w:val="InternetLink"/>
                  <w:rFonts w:ascii="Times New Roman" w:hAnsi="Times New Roman"/>
                  <w:b/>
                  <w:color w:val="0000FF"/>
                  <w:sz w:val="20"/>
                  <w:u w:val="single"/>
                </w:rPr>
                <w:t>Item 1. 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9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color w:val="0000FF"/>
                  <w:sz w:val="20"/>
                  <w:u w:val="single"/>
                </w:rPr>
                <w:t>Item 1A. Risk Factors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w:t>
              </w:r>
            </w:hyperlink>
            <w:hyperlink w:anchor="item_2_unregistered_sales_equity_securit">
              <w:r>
                <w:rPr>
                  <w:rStyle w:val="InternetLink"/>
                  <w:rFonts w:ascii="Times New Roman" w:hAnsi="Times New Roman"/>
                  <w:b/>
                  <w:color w:val="0000FF"/>
                  <w:sz w:val="20"/>
                  <w:u w:val="single"/>
                </w:rPr>
                <w:t>tem 2. Unregistered Sales of Equity Securities and Use of Proceeds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toc_page">
              <w:r>
                <w:rPr>
                  <w:rStyle w:val="InternetLink"/>
                  <w:rFonts w:ascii="Times New Roman" w:hAnsi="Times New Roman"/>
                  <w:b/>
                  <w:color w:val="0000FF"/>
                  <w:sz w:val="20"/>
                  <w:u w:val="single"/>
                </w:rPr>
                <w:t>Item 5. 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6_exhibits_">
              <w:r>
                <w:rPr>
                  <w:rStyle w:val="InternetLink"/>
                  <w:rFonts w:ascii="Times New Roman" w:hAnsi="Times New Roman"/>
                  <w:b/>
                  <w:color w:val="0000FF"/>
                  <w:sz w:val="20"/>
                  <w:u w:val="single"/>
                </w:rPr>
                <w:t>Item 6. Exhibits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spacing w:before="120" w:after="283"/>
        <w:jc w:val="both"/>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INTELLIA THERAPEUTICS, INC.</w:t>
      </w:r>
    </w:p>
    <w:p>
      <w:pPr>
        <w:pStyle w:val="TextBody"/>
        <w:bidi w:val="0"/>
        <w:jc w:val="center"/>
        <w:rPr>
          <w:rFonts w:ascii="Times New Roman" w:hAnsi="Times New Roman"/>
          <w:sz w:val="20"/>
        </w:rPr>
      </w:pPr>
      <w:bookmarkStart w:id="4" w:name="consolidated_balance_sheets_unaudited"/>
      <w:bookmarkEnd w:id="4"/>
      <w:r>
        <w:rPr>
          <w:rFonts w:ascii="Times New Roman" w:hAnsi="Times New Roman"/>
          <w:b/>
          <w:color w:val="000000"/>
          <w:sz w:val="20"/>
        </w:rPr>
        <w:t>Condensed Consolidated Balance</w:t>
      </w:r>
      <w:r>
        <w:rPr>
          <w:rFonts w:ascii="Times New Roman" w:hAnsi="Times New Roman"/>
          <w:color w:val="000000"/>
          <w:sz w:val="20"/>
        </w:rPr>
        <w:t xml:space="preserve"> </w:t>
      </w:r>
      <w:r>
        <w:rPr>
          <w:rFonts w:ascii="Times New Roman" w:hAnsi="Times New Roman"/>
          <w:b/>
          <w:color w:val="000000"/>
          <w:sz w:val="20"/>
        </w:rPr>
        <w:t>Sheets (unaudited)</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951"/>
        <w:gridCol w:w="146"/>
        <w:gridCol w:w="196"/>
        <w:gridCol w:w="886"/>
        <w:gridCol w:w="166"/>
        <w:gridCol w:w="146"/>
        <w:gridCol w:w="199"/>
        <w:gridCol w:w="903"/>
        <w:gridCol w:w="612"/>
      </w:tblGrid>
      <w:tr>
        <w:trPr/>
        <w:tc>
          <w:tcPr>
            <w:tcW w:w="6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93"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155,464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294,420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9,468</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68,359</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527,711</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155,250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17,671</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105,955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35,540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842,127</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593"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49,862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26,480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7,290</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103,884</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66,849</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170,733</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240,000,000</w:t>
            </w:r>
            <w:r>
              <w:rPr>
                <w:rFonts w:ascii="Times New Roman" w:hAnsi="Times New Roman"/>
                <w:color w:val="000000"/>
                <w:sz w:val="20"/>
              </w:rPr>
              <w:t> </w:t>
            </w:r>
            <w:r>
              <w:rPr>
                <w:rFonts w:ascii="Times New Roman" w:hAnsi="Times New Roman"/>
                <w:color w:val="000000"/>
                <w:sz w:val="18"/>
              </w:rPr>
              <w:t>shares authorized at June 30, 2026 and December 31, 2025; 140,018,200</w:t>
            </w:r>
            <w:r>
              <w:rPr>
                <w:rFonts w:ascii="Times New Roman" w:hAnsi="Times New Roman"/>
                <w:color w:val="000000"/>
                <w:sz w:val="20"/>
              </w:rPr>
              <w:t> </w:t>
            </w:r>
            <w:r>
              <w:rPr>
                <w:rFonts w:ascii="Times New Roman" w:hAnsi="Times New Roman"/>
                <w:color w:val="000000"/>
                <w:sz w:val="18"/>
              </w:rPr>
              <w:t>and 116,317,060</w:t>
            </w:r>
            <w:r>
              <w:rPr>
                <w:rFonts w:ascii="Times New Roman" w:hAnsi="Times New Roman"/>
                <w:color w:val="000000"/>
                <w:sz w:val="20"/>
              </w:rPr>
              <w:t> </w:t>
            </w:r>
            <w:r>
              <w:rPr>
                <w:rFonts w:ascii="Times New Roman" w:hAnsi="Times New Roman"/>
                <w:color w:val="000000"/>
                <w:sz w:val="18"/>
              </w:rPr>
              <w:t>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3,521,681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3,260,444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(2,792,959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(2,590,094</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671,394</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842,127</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INTELLIA THERAPEUTICS, INC.</w:t>
      </w:r>
    </w:p>
    <w:p>
      <w:pPr>
        <w:pStyle w:val="TextBody"/>
        <w:bidi w:val="0"/>
        <w:jc w:val="center"/>
        <w:rPr>
          <w:rFonts w:ascii="Times New Roman" w:hAnsi="Times New Roman"/>
          <w:sz w:val="20"/>
        </w:rPr>
      </w:pPr>
      <w:bookmarkStart w:id="5" w:name="consolidated_statements_operations_unaud"/>
      <w:bookmarkEnd w:id="5"/>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 (unaudited)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data)</w:t>
      </w:r>
    </w:p>
    <w:p>
      <w:pPr>
        <w:pStyle w:val="TextBody"/>
        <w:bidi w:val="0"/>
        <w:jc w:val="center"/>
        <w:rPr/>
      </w:pPr>
      <w:r>
        <w:rPr/>
        <w:t> </w:t>
      </w:r>
    </w:p>
    <w:tbl>
      <w:tblPr>
        <w:tblW w:w="10002" w:type="dxa"/>
        <w:jc w:val="left"/>
        <w:tblInd w:w="0" w:type="dxa"/>
        <w:tblLayout w:type="fixed"/>
        <w:tblCellMar>
          <w:top w:w="28" w:type="dxa"/>
          <w:left w:w="28" w:type="dxa"/>
          <w:bottom w:w="28" w:type="dxa"/>
          <w:right w:w="28" w:type="dxa"/>
        </w:tblCellMar>
      </w:tblPr>
      <w:tblGrid>
        <w:gridCol w:w="4101"/>
        <w:gridCol w:w="146"/>
        <w:gridCol w:w="211"/>
        <w:gridCol w:w="841"/>
        <w:gridCol w:w="166"/>
        <w:gridCol w:w="146"/>
        <w:gridCol w:w="211"/>
        <w:gridCol w:w="841"/>
        <w:gridCol w:w="166"/>
        <w:gridCol w:w="146"/>
        <w:gridCol w:w="211"/>
        <w:gridCol w:w="841"/>
        <w:gridCol w:w="166"/>
        <w:gridCol w:w="146"/>
        <w:gridCol w:w="211"/>
        <w:gridCol w:w="841"/>
        <w:gridCol w:w="61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261,675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(230,803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(215,584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basic and</w:t>
              <w:br/>
              <w:t>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103,617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(215,536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INTELLIA THERAPEUTICS, INC.</w:t>
      </w:r>
    </w:p>
    <w:p>
      <w:pPr>
        <w:pStyle w:val="TextBody"/>
        <w:bidi w:val="0"/>
        <w:jc w:val="center"/>
        <w:rPr>
          <w:rFonts w:ascii="Times New Roman" w:hAnsi="Times New Roman"/>
          <w:b/>
          <w:color w:val="000000"/>
          <w:sz w:val="20"/>
        </w:rPr>
      </w:pPr>
      <w:bookmarkStart w:id="6" w:name="consolidated_statements_sse"/>
      <w:bookmarkEnd w:id="6"/>
      <w:r>
        <w:rPr>
          <w:rFonts w:ascii="Times New Roman" w:hAnsi="Times New Roman"/>
          <w:b/>
          <w:color w:val="000000"/>
          <w:sz w:val="20"/>
        </w:rPr>
        <w:t>Condensed Consolidated Statements of Stockholders’ Equity (unaudited)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79"/>
        <w:gridCol w:w="146"/>
        <w:gridCol w:w="841"/>
        <w:gridCol w:w="146"/>
        <w:gridCol w:w="146"/>
        <w:gridCol w:w="236"/>
        <w:gridCol w:w="335"/>
        <w:gridCol w:w="146"/>
        <w:gridCol w:w="146"/>
        <w:gridCol w:w="181"/>
        <w:gridCol w:w="691"/>
        <w:gridCol w:w="146"/>
        <w:gridCol w:w="146"/>
        <w:gridCol w:w="340"/>
        <w:gridCol w:w="852"/>
        <w:gridCol w:w="151"/>
        <w:gridCol w:w="146"/>
        <w:gridCol w:w="181"/>
        <w:gridCol w:w="736"/>
        <w:gridCol w:w="151"/>
        <w:gridCol w:w="146"/>
        <w:gridCol w:w="204"/>
        <w:gridCol w:w="715"/>
        <w:gridCol w:w="198"/>
      </w:tblGrid>
      <w:tr>
        <w:trPr/>
        <w:tc>
          <w:tcPr>
            <w:tcW w:w="3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116,317,060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3,260,444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(2,590,094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671,394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through at-the-market offerings, net</w:t>
              <w:br/>
              <w:t>   of issuance costs of $222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2,612,344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33,569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1,518,117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13,479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 (loss) - unrealized loss on</w:t>
              <w:br/>
              <w:t>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(1,272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(96,231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(96,231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March 31,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120,447,521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3,307,492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(2,686,325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620,939</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through follow-on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19,255,815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194,578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194,580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119,401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shares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194,213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1,520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18,075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 (loss) - unrealized loss on</w:t>
              <w:br/>
              <w:t>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(790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(106,634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(106,634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140,018,200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3,521,681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(2,792,959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727,706</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102,029,594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3,048,741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(2,177,400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871,956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1,510,091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21,840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 (loss) - unrealized gain on</w:t>
              <w:br/>
              <w: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(114,329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(114,329</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103,539,685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3,070,581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(2,291,729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779,919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through at-the-market offerings, net</w:t>
              <w:br/>
              <w:t>   of issuance costs of $0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1,459,257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13,722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176,579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shares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155,172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1,237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22,036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 (loss) - unrealized loss on</w:t>
              <w:br/>
              <w:t>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(101,255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(101,255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105,330,693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3,107,576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653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(2,392,984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715,255</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16"/>
        </w:rPr>
      </w:pPr>
      <w:r>
        <w:rPr>
          <w:rFonts w:ascii="Times New Roman" w:hAnsi="Times New Roman"/>
          <w:color w:val="000000"/>
          <w:sz w:val="16"/>
        </w:rPr>
        <w:t>See 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INTELLIA THERAPEUTICS, INC.</w:t>
      </w:r>
    </w:p>
    <w:p>
      <w:pPr>
        <w:pStyle w:val="TextBody"/>
        <w:bidi w:val="0"/>
        <w:jc w:val="center"/>
        <w:rPr>
          <w:rFonts w:ascii="Times New Roman" w:hAnsi="Times New Roman"/>
          <w:sz w:val="20"/>
        </w:rPr>
      </w:pPr>
      <w:bookmarkStart w:id="7" w:name="consolidated_statements_cash_flows_unaud"/>
      <w:bookmarkEnd w:id="7"/>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Cash Flows (unaudited)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tbl>
      <w:tblPr>
        <w:tblW w:w="8826" w:type="dxa"/>
        <w:jc w:val="left"/>
        <w:tblInd w:w="0" w:type="dxa"/>
        <w:tblLayout w:type="fixed"/>
        <w:tblCellMar>
          <w:top w:w="28" w:type="dxa"/>
          <w:left w:w="28" w:type="dxa"/>
          <w:bottom w:w="28" w:type="dxa"/>
          <w:right w:w="28" w:type="dxa"/>
        </w:tblCellMar>
      </w:tblPr>
      <w:tblGrid>
        <w:gridCol w:w="5836"/>
        <w:gridCol w:w="146"/>
        <w:gridCol w:w="198"/>
        <w:gridCol w:w="761"/>
        <w:gridCol w:w="168"/>
        <w:gridCol w:w="147"/>
        <w:gridCol w:w="198"/>
        <w:gridCol w:w="761"/>
        <w:gridCol w:w="611"/>
      </w:tblGrid>
      <w:tr>
        <w:trPr/>
        <w:tc>
          <w:tcPr>
            <w:tcW w:w="5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(202,865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(215,584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investment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17,918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(17,836</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(45,690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(200,459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(248,552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(267,358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(138,809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193,894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(75,262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201,238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proceeds from issuance of common stock through follow-on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194,580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proceeds from issuance of common stock through at-the-market offerings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33,569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through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1,520</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229,685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(46,036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(32,662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167,568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121,532</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170,125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Reconciliation of cash, cash equivalents and restricted cash</w:t>
              <w:br/>
              <w:t>   equivalents to condensed consolidated balance sheet: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106,128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156,172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equivalents, included in investments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15,404</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121,532</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170,125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 unpaid at period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Reduction of right-of-use assets from remeasurement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61,917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at-the-market offerings unpaid at period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INTELLIA THERAPEUTICS, INC.</w:t>
      </w:r>
    </w:p>
    <w:p>
      <w:pPr>
        <w:pStyle w:val="TextBody"/>
        <w:bidi w:val="0"/>
        <w:jc w:val="center"/>
        <w:rPr>
          <w:rFonts w:ascii="Times New Roman" w:hAnsi="Times New Roman"/>
          <w:sz w:val="20"/>
        </w:rPr>
      </w:pPr>
      <w:bookmarkStart w:id="8" w:name="notes_to_consolidated_financial_statemen"/>
      <w:bookmarkEnd w:id="8"/>
      <w:r>
        <w:rPr>
          <w:rFonts w:ascii="Times New Roman" w:hAnsi="Times New Roman"/>
          <w:b/>
          <w:color w:val="000000"/>
          <w:sz w:val="20"/>
        </w:rPr>
        <w:t>Notes to Condensed Consolidated Financial</w:t>
      </w:r>
      <w:r>
        <w:rPr>
          <w:rFonts w:ascii="Times New Roman" w:hAnsi="Times New Roman"/>
          <w:color w:val="000000"/>
          <w:sz w:val="20"/>
        </w:rPr>
        <w:t xml:space="preserve"> </w:t>
      </w:r>
      <w:r>
        <w:rPr>
          <w:rFonts w:ascii="Times New Roman" w:hAnsi="Times New Roman"/>
          <w:b/>
          <w:color w:val="000000"/>
          <w:sz w:val="20"/>
        </w:rPr>
        <w:t>Statements (unaudited)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Overview and 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Intellia Therapeutics, Inc. (“Intellia,” or the “Company”) is a leading biopharmaceutical company focused on revolutionizing medicine leveraging CRISPR gene editing and other core technologies. The Company’s mission is to transform the lives of people with severe diseases by developing and commercializing potentially curative treatments. With deep scientific, technical and clinical development experience, Intellia aims to reset the standard for medicine by durably treating the root causes of disease.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over a decade, Intellia has applied its proprietary technologies and expertise, including CRISPR-based gene editing technologies, oligonucleotides, and lipid nanoparticles (“LNPs”), to develop novel, first-in-class product candidates. This includes the development of lonvoguran ziclumeran (“lonvo-z,” previously referred to as NTLA-2002) for the treatment of hereditary angioedema (“HAE”) and nexiguran ziclumeran (“nex-z,” previously referred to as NTLA-2001) for the treatment of transthyretin (“ATTR”) amyloidosis. These lead product candidates are the first </w:t>
      </w:r>
      <w:r>
        <w:rPr>
          <w:rFonts w:ascii="Times New Roman" w:hAnsi="Times New Roman"/>
          <w:i/>
          <w:color w:val="000000"/>
          <w:sz w:val="20"/>
        </w:rPr>
        <w:t>in vivo</w:t>
      </w:r>
      <w:r>
        <w:rPr>
          <w:rFonts w:ascii="Times New Roman" w:hAnsi="Times New Roman"/>
          <w:color w:val="000000"/>
          <w:sz w:val="20"/>
        </w:rPr>
        <w:t xml:space="preserve"> genome editing product candidates to advance into Phase 3 clinical development. These systemically administered CRISPR-based candidates are designed to address diseases with high unmet need with a single intravenous (“IV”) infusion that is administered in an outpatient setting. In April 2026, the Company reported positive topline data from the global Phase 3 HAELO clinical trial of lonvo-z in HAE, and preparations are underway for the planned commercial launch of lonvo-z in the first half of 2027, if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condensed consolidated financial statements of the Company included herein have been prepared, without audit, pursuant to the rules and regulations of the Securities and Exchange Commission (“SEC”). Certain information and footnote disclosures normally included in annual financial statements prepared in accordance with accounting principles generally accepted in the United States of America (“U.S. GAAP”) have been condensed or omitted from this report, as is permitted by such rules and regulations. Accordingly, these condensed consolidated financial statements should be read in conjunction with the financial statements and notes thereto included in the Company’s Annual Report on Form 10-K (“Annual Report”) for the year ended December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unaudited condensed consolidated financial statements include the accounts of Intellia Therapeutics, Inc. and its wholly- owned subsidiary, Intellia Securities Corp. All intercompany balances and transactions have been eliminated in consolidation. Comprehensive loss is comprised of net loss and unrealized gain/loss on marketable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judgments and assumptions that affect the amounts reported in the financial statements and accompanying notes. Significant estimates in these condensed consolidated financial statements have been made in connection with the calculation of revenues, research and development expenses and stock-based compensation expense. The Company bases its estimates on historical experience and various other assumptions that management believes to be reasonable under the circumstances at the time such estimates are made. Actual results could differ from those estimates. The Company periodically reviews its estimates in light of changes in circumstances, facts and experience. The effects of material revisions in estimates, if any, would be reflected in the condensed consolidated financial statements prospectively from the date of the change in estimate.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opinion of management, the information furnished reflects all adjustments, all of which are of a normal and recurring nature, necessary for a fair presentation of the results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both"/>
        <w:rPr>
          <w:rFonts w:ascii="Times New Roman" w:hAnsi="Times New Roman"/>
          <w:sz w:val="20"/>
        </w:rPr>
      </w:pPr>
      <w:r>
        <w:rPr>
          <w:rFonts w:ascii="Times New Roman" w:hAnsi="Times New Roman"/>
          <w:color w:val="000000"/>
          <w:sz w:val="20"/>
        </w:rPr>
        <w:t>Since its inception through June 30, 2026, the Company has funded its operations through its initial public offering (“IPO”) and concurrent private placements, follow-on public offerings, at-the-market offerings and the sale of convertible preferred stock, as well as through its collaboration agreements. The Company expects that its cash, cash equivalents and marketable securities</w:t>
      </w:r>
      <w:r>
        <w:rPr>
          <w:rFonts w:ascii="Times New Roman" w:hAnsi="Times New Roman"/>
          <w:color w:val="FF0000"/>
          <w:sz w:val="20"/>
        </w:rPr>
        <w:t xml:space="preserve"> </w:t>
      </w:r>
      <w:r>
        <w:rPr>
          <w:rFonts w:ascii="Times New Roman" w:hAnsi="Times New Roman"/>
          <w:color w:val="000000"/>
          <w:sz w:val="20"/>
        </w:rPr>
        <w:t>as of June 30, 2026 will enable the Company to fund its ongoing operating expenses and capital expenditure requirements for at least the twelve-month period following the issuance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significant accounting policies are described in Note 2, “Summary of Significant Accounting Policies,” to the consolidated financial statements included in its Annual Report for the year ended December 31, 2025. There have been no material changes to these policies in the six months ended June 30, 2026.</w:t>
      </w:r>
    </w:p>
    <w:p>
      <w:pPr>
        <w:pStyle w:val="TextBody"/>
        <w:bidi w:val="0"/>
        <w:spacing w:before="240" w:after="283"/>
        <w:jc w:val="both"/>
        <w:rPr>
          <w:rFonts w:ascii="Times New Roman" w:hAnsi="Times New Roman"/>
          <w:sz w:val="20"/>
        </w:rPr>
      </w:pPr>
      <w:r>
        <w:rPr>
          <w:rFonts w:ascii="Times New Roman" w:hAnsi="Times New Roman"/>
          <w:b/>
          <w:i/>
          <w:color w:val="000000"/>
          <w:sz w:val="20"/>
        </w:rPr>
        <w:t>Recently Issued Accounting Pronouncements Not Yet Effective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Financial Accounting Standards Board (“FASB”) issued Accounting Standards Update (“ASU”) No.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xml:space="preserve"> This ASU requires disclosure of specified information about certain costs and expenses in the footnotes to the financial statements. This ASU is effective for annual periods beginning after December 15, 2026 and is applicable to the Company’s fiscal year beginning January 1, 2027, with early application permitted. The Company is currently evaluating the impact of adopting this ASU on its consolidated financial statements and disclosures.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2025, the FASB issued ASU No. 2025-12, </w:t>
      </w:r>
      <w:r>
        <w:rPr>
          <w:rFonts w:ascii="Times New Roman" w:hAnsi="Times New Roman"/>
          <w:i/>
          <w:color w:val="000000"/>
          <w:sz w:val="20"/>
        </w:rPr>
        <w:t>Codification Improvements.</w:t>
      </w:r>
      <w:r>
        <w:rPr>
          <w:rFonts w:ascii="Times New Roman" w:hAnsi="Times New Roman"/>
          <w:color w:val="000000"/>
          <w:sz w:val="20"/>
        </w:rPr>
        <w:t xml:space="preserve"> This ASU’s purpose is to update the FASB’s Accounting Standard Codification (“ASC”) for a broad range of topics in order to clarify, correct errors, or make minor improvements that make the ASC easier to understand and apply. This ASU is effective for interim reporting periods within annual periods beginning after December 15, 2026 and is applicable to the Company’s fiscal year beginning January 1, 2027. The Company is currently evaluating the impact of adopting this ASU on its consolidated financial statements and disclosures.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 Marketable Securities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the Company’s available-for-sale marketable securities:</w:t>
      </w:r>
    </w:p>
    <w:tbl>
      <w:tblPr>
        <w:tblW w:w="10205" w:type="dxa"/>
        <w:jc w:val="left"/>
        <w:tblInd w:w="0" w:type="dxa"/>
        <w:tblLayout w:type="fixed"/>
        <w:tblCellMar>
          <w:top w:w="28" w:type="dxa"/>
          <w:left w:w="28" w:type="dxa"/>
          <w:bottom w:w="28" w:type="dxa"/>
          <w:right w:w="28" w:type="dxa"/>
        </w:tblCellMar>
      </w:tblPr>
      <w:tblGrid>
        <w:gridCol w:w="4208"/>
        <w:gridCol w:w="146"/>
        <w:gridCol w:w="211"/>
        <w:gridCol w:w="781"/>
        <w:gridCol w:w="146"/>
        <w:gridCol w:w="146"/>
        <w:gridCol w:w="351"/>
        <w:gridCol w:w="951"/>
        <w:gridCol w:w="146"/>
        <w:gridCol w:w="146"/>
        <w:gridCol w:w="326"/>
        <w:gridCol w:w="976"/>
        <w:gridCol w:w="166"/>
        <w:gridCol w:w="146"/>
        <w:gridCol w:w="247"/>
        <w:gridCol w:w="917"/>
        <w:gridCol w:w="195"/>
      </w:tblGrid>
      <w:tr>
        <w:trPr/>
        <w:tc>
          <w:tcPr>
            <w:tcW w:w="4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w:t>
              <w:br/>
              <w:t>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and other government-backed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275,645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institution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168,784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77,797</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522,226</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w:t>
              <w:br/>
              <w:t>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and other government-backed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institution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146,815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81,738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449,670</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amortized cost of available-for-sale securities is adjusted for amortization of premiums and accretion of discounts to maturity. There were no material realized gains or losses in the six months ended June 30, 2026 or the year ended December 31, 2025. The Company did not reclassify any amounts out of accumulated other comprehensive (loss) income during these periods. The Company generally does not intend to sell any investments prior to recovery of their amortized cost basis for any investment in an unrealized loss position. As such, the Company has classified these losses as temporary in nature.</w:t>
      </w:r>
    </w:p>
    <w:p>
      <w:pPr>
        <w:pStyle w:val="TextBody"/>
        <w:bidi w:val="0"/>
        <w:spacing w:before="240" w:after="283"/>
        <w:jc w:val="both"/>
        <w:rPr>
          <w:rFonts w:ascii="Times New Roman" w:hAnsi="Times New Roman"/>
          <w:sz w:val="20"/>
        </w:rPr>
      </w:pPr>
      <w:r>
        <w:rPr>
          <w:rFonts w:ascii="Times New Roman" w:hAnsi="Times New Roman"/>
          <w:color w:val="000000"/>
          <w:sz w:val="20"/>
        </w:rPr>
        <w:t>The Company’s available-for-sale securities that are classified as short-term marketable securities in the condensed consolidated balance sheets mature within one year or less as of the balance sheet date. Available-for-sale securities that are classified as noncurrent in the condensed consolidated balance sheets are those that mature after one year but within five years from the balance sheet date and that the Company does not intend to dispose of within the next twelve months. At June 30, 2026</w:t>
      </w:r>
      <w:r>
        <w:rPr>
          <w:rFonts w:ascii="Times New Roman" w:hAnsi="Times New Roman"/>
          <w:color w:val="FF0000"/>
          <w:sz w:val="20"/>
        </w:rPr>
        <w:t xml:space="preserve"> </w:t>
      </w:r>
      <w:r>
        <w:rPr>
          <w:rFonts w:ascii="Times New Roman" w:hAnsi="Times New Roman"/>
          <w:color w:val="000000"/>
          <w:sz w:val="20"/>
        </w:rPr>
        <w:t>and December 31, 2025, the Company did not hold any marketable securities that matured beyond five years of the balance sheet date.</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Accrued interest on marketable securities is included in “Prepaid expenses and other current assets” on the Company’s condensed consolidated balance sheets.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4. 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classifies fair value-based measurements using a three-level hierarchy that prioritizes the inputs used to measure fair value. This hierarchy requires entities to maximize the use of observable inputs and minimize the use of unobservable inputs. The three levels of inputs used to measure fair value are as follows: Level 1, quoted market prices (unadjusted) in active markets for identical assets or liabilities; Level 2, observable inputs other than quoted market prices included in Level 1, such as quoted market prices for markets that are not active or other inputs that are observable or can be corroborated by observable market data; and Level 3, 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of the Company’s financial assets, including cash equivalents, restricted cash equivalents and marketable securities, have been initially valued at the transaction price, and subsequently revalued at the end of each reporting period, utilizing third party pricing services or other observable market data. The pricing services utilize industry standard valuation models and observable market inputs to determine value.</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Company’s financial assets recognized at fair value on a recurring basis consisted of the following:</w:t>
      </w:r>
    </w:p>
    <w:tbl>
      <w:tblPr>
        <w:tblW w:w="9705" w:type="dxa"/>
        <w:jc w:val="left"/>
        <w:tblInd w:w="0" w:type="dxa"/>
        <w:tblLayout w:type="fixed"/>
        <w:tblCellMar>
          <w:top w:w="28" w:type="dxa"/>
          <w:left w:w="28" w:type="dxa"/>
          <w:bottom w:w="28" w:type="dxa"/>
          <w:right w:w="28" w:type="dxa"/>
        </w:tblCellMar>
      </w:tblPr>
      <w:tblGrid>
        <w:gridCol w:w="4686"/>
        <w:gridCol w:w="146"/>
        <w:gridCol w:w="211"/>
        <w:gridCol w:w="781"/>
        <w:gridCol w:w="146"/>
        <w:gridCol w:w="146"/>
        <w:gridCol w:w="211"/>
        <w:gridCol w:w="781"/>
        <w:gridCol w:w="146"/>
        <w:gridCol w:w="146"/>
        <w:gridCol w:w="211"/>
        <w:gridCol w:w="781"/>
        <w:gridCol w:w="146"/>
        <w:gridCol w:w="146"/>
        <w:gridCol w:w="352"/>
        <w:gridCol w:w="278"/>
        <w:gridCol w:w="391"/>
      </w:tblGrid>
      <w:tr>
        <w:trPr/>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and other government-backed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Financial institution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Kyverna Therapeutics,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and other government-backed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Financial institution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Kyverna Therapeutics,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552,967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financial instruments, including accounts receivable, accounts payable and accrued expense, are carried at cost, which approximates fair value due to the short duration and term to maturity.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determined that the estimated fair value of its investment in Kyverna Therapeutics, Inc. (“Kyverna”), a publicly traded company, is reported as Level 1 as it is valued at a quoted market price in an active market. The investment in Kyverna is classified within “Investments and other assets” in the condensed consolidated balance sheets. Refer to Note 8, “Investments and Other Assets,” for further details.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 Accrued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expenses consisted of the following:</w:t>
      </w:r>
    </w:p>
    <w:tbl>
      <w:tblPr>
        <w:tblW w:w="6017" w:type="dxa"/>
        <w:jc w:val="left"/>
        <w:tblInd w:w="0" w:type="dxa"/>
        <w:tblLayout w:type="fixed"/>
        <w:tblCellMar>
          <w:top w:w="28" w:type="dxa"/>
          <w:left w:w="28" w:type="dxa"/>
          <w:bottom w:w="28" w:type="dxa"/>
          <w:right w:w="28" w:type="dxa"/>
        </w:tblCellMar>
      </w:tblPr>
      <w:tblGrid>
        <w:gridCol w:w="3406"/>
        <w:gridCol w:w="146"/>
        <w:gridCol w:w="211"/>
        <w:gridCol w:w="676"/>
        <w:gridCol w:w="146"/>
        <w:gridCol w:w="146"/>
        <w:gridCol w:w="260"/>
        <w:gridCol w:w="835"/>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may be involved in legal and administrative proceedings and claims of various types. In some actions, the claimants seek damages, as well as other relief, which, if granted, would require significant expenditures.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to the Company and the amount of the loss can be reasonably estimated, the Company estimates and discloses the possible loss or range of loss. If the loss is not probable or cannot be reasonably estimated, a liability is not recorded in its consolidated financial statements.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BlueAllele Corp. v. Intellia Therapeutics,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8, 2024, BlueAllele Corp. (“BlueAllele”) filed a complaint alleging infringement by the Company of various patents in the U.S. District Court for the District of Delaware. Specifically, BlueAllele alleges that the Company’s experimentation, basic research, identification, optimization, manufacturing and/or use of bi-directional insertion template technology infringes the asserted patents and seeks unspecified compensatory damages and an injunction against the alleged infringing activities. On September 12, 2024, the Company filed a motion to dismiss the complaint, and on December 9, 2024, the court denied the Company’s motion to dismiss and discovery began. On January 6, 2025, the Company filed its answer and counterclaims, and BlueAllele filed a motion to dismiss the Company’s counterclaims on January 27, 2025. On February 21, 2025, the court substantially denied BlueAllele’s motion to dismiss, and granted the motion with respect to one counterclaim. At this stage, the Company is unable to determine the likelihood of an unfavorable outcome or estimate the amount or range of potential loss, if any.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Gonzalez v. Intellia Therapeutics, Inc.</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February 11, 2025, a purported stockholder of the Company filed a lawsuit, captioned </w:t>
      </w:r>
      <w:r>
        <w:rPr>
          <w:rFonts w:ascii="Times New Roman" w:hAnsi="Times New Roman"/>
          <w:i/>
          <w:color w:val="000000"/>
          <w:sz w:val="20"/>
        </w:rPr>
        <w:t>Gonzalez v. Intellia Therapeutics, Inc.</w:t>
      </w:r>
      <w:r>
        <w:rPr>
          <w:rFonts w:ascii="Times New Roman" w:hAnsi="Times New Roman"/>
          <w:color w:val="000000"/>
          <w:sz w:val="20"/>
        </w:rPr>
        <w:t>, No. 1:25-cv-01353 (D. Mass.), in the U.S. District Court for the District of Massachusetts against the Company and certain of its officers (the “defendants”) on behalf of a putative class of stockholders who purchased Company shares from July 30, 2024 through January 8, 2025. On May 26, 2025, the court entered an order appointing co-lead plaintiffs and, on July 23, 2025, co-lead plaintiffs filed an amended complaint. The amended complaint alleged claims under Sections 10(b) and 20(a) and Rule 10b-5 of the Securities Exchange Act of 1934 (the “Exchange Act”) premised upon statements relating to the Company’s NTLA-3001 program and the demand for viral-based editing. On September 8, 2025, the defendants filed a motion to dismiss the amended complaint. On January 14, 2026, the court held a hearing on the motion to dismiss, and the court fully granted the defendants’ motion to dismiss on June 18, 2026, which decision the plaintiffs did not appeal.</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Aiello v. Bhanji et al.</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15, 2025, a purported stockholder of the Company filed a stockholder derivative lawsuit, captioned </w:t>
      </w:r>
      <w:r>
        <w:rPr>
          <w:rFonts w:ascii="Times New Roman" w:hAnsi="Times New Roman"/>
          <w:i/>
          <w:color w:val="000000"/>
          <w:sz w:val="20"/>
        </w:rPr>
        <w:t>Aiello v. Bhanji et al.</w:t>
      </w:r>
      <w:r>
        <w:rPr>
          <w:rFonts w:ascii="Times New Roman" w:hAnsi="Times New Roman"/>
          <w:color w:val="000000"/>
          <w:sz w:val="20"/>
        </w:rPr>
        <w:t xml:space="preserve"> (C.A. No. 2025-0543-BWD), in the Court of Chancery of the State of Delaware against certain of the Company’s current and former directors (the “Individual Defendants”) and the Company as a nominal defendant. The complaint alleges claims for breach of fiduciary duty, unjust enrichment, and waste of corporate assets against the Individual Defendants based on, among other things, allegations of allegedly excessive compensation to the Company’s non-employee directors. The complaint seeks unspecified damages and restitution of compensation and other benefits from the Individual Defendants, corporate governance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reforms from the Company, reasonable attorneys’ fees and other costs. On July 11, 2025, the Company and Individual Defendants filed answers to the complaint, and discovery commenced thereafter. At this stage, the Company is unable to determine the likelihood of an unfavorable outcome or estimate the amount or range of potential loss, if 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and six months ended June 30, 2026, except as noted above, there have been no material changes to any outstanding litigation, nor is the Company a party to any material new litigation.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License and Other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party to license and other agreements, which may include contingent payments. These payments could include up to $130.0 million related to Rewrite Therapeutics, Inc. (“Rewrite”), including $100.0 million upon achievement of a regulatory approval milestone and $30.0 million upon achievement of pre-specified research milestones. As of June 30, 2026, the satisfaction and timing of the contingent payments is uncertain and not reasonably estimable.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 Collaborations and Other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accelerate the development and commercialization of gene editing products in multiple therapeutic areas, the Company has formed, and intends to seek other opportunities to form, strategic alliances with collaborators who can augment its leadership in CRISPR/Cas9 therapeutic development. As of June 30, 2026 and December 31, 2025, the Company’s accounts receivable and contract liabilities were related to its collaboration with Regeneron Pharmaceuticals, Inc. (“Regeneron”).</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presents changes in the Company’s accounts receivable and contract liabilities (in thousands):</w:t>
      </w:r>
    </w:p>
    <w:tbl>
      <w:tblPr>
        <w:tblW w:w="8438" w:type="dxa"/>
        <w:jc w:val="left"/>
        <w:tblInd w:w="0" w:type="dxa"/>
        <w:tblLayout w:type="fixed"/>
        <w:tblCellMar>
          <w:top w:w="28" w:type="dxa"/>
          <w:left w:w="28" w:type="dxa"/>
          <w:bottom w:w="28" w:type="dxa"/>
          <w:right w:w="28" w:type="dxa"/>
        </w:tblCellMar>
      </w:tblPr>
      <w:tblGrid>
        <w:gridCol w:w="3151"/>
        <w:gridCol w:w="146"/>
        <w:gridCol w:w="242"/>
        <w:gridCol w:w="778"/>
        <w:gridCol w:w="146"/>
        <w:gridCol w:w="146"/>
        <w:gridCol w:w="211"/>
        <w:gridCol w:w="676"/>
        <w:gridCol w:w="146"/>
        <w:gridCol w:w="146"/>
        <w:gridCol w:w="211"/>
        <w:gridCol w:w="736"/>
        <w:gridCol w:w="166"/>
        <w:gridCol w:w="146"/>
        <w:gridCol w:w="285"/>
        <w:gridCol w:w="915"/>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 of</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End</w:t>
              <w:br/>
              <w:t>of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 of</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End</w:t>
              <w:br/>
              <w:t>of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recognized the following revenues as a result of changes in the contract liability balance (in thousands):</w:t>
      </w:r>
    </w:p>
    <w:tbl>
      <w:tblPr>
        <w:tblW w:w="8406" w:type="dxa"/>
        <w:jc w:val="left"/>
        <w:tblInd w:w="0" w:type="dxa"/>
        <w:tblLayout w:type="fixed"/>
        <w:tblCellMar>
          <w:top w:w="28" w:type="dxa"/>
          <w:left w:w="28" w:type="dxa"/>
          <w:bottom w:w="28" w:type="dxa"/>
          <w:right w:w="28" w:type="dxa"/>
        </w:tblCellMar>
      </w:tblPr>
      <w:tblGrid>
        <w:gridCol w:w="6001"/>
        <w:gridCol w:w="146"/>
        <w:gridCol w:w="222"/>
        <w:gridCol w:w="603"/>
        <w:gridCol w:w="154"/>
        <w:gridCol w:w="154"/>
        <w:gridCol w:w="222"/>
        <w:gridCol w:w="713"/>
        <w:gridCol w:w="1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recognized in the period from: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the contract liability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7,290</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not incurred significant expenses to obtain collaboration agreements and costs to fulfill those contracts do not generate or enhance resources of the Company. As such, no costs to obtain or fulfill a contract have been capitalized in any period.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Regeneron Pharmaceuticals,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2016, the Company entered into a license and collaboration agreement with Regeneron (as amended from time to time, the “2016 Regeneron Agreement”), which consisted of a product development component and a technology collaboration component. In October 2023, Regeneron exercised its one-time option to extend the term of the technology collaboration until April 2026, in exchange for a nonrefundable payment of $30.0 million that was paid in April 2024. The Company recognized $0.6 million and $5.8 million of collaboration revenue in the three and six months ended June 30, 2026, respectively, and $5.0 million and $10.1 million during the three and six months ended June 30, 2025, respectively, in the condensed consolidated statements of operations and comprehensive loss related to the 2016 Regeneron Agreement.</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2018, the Company entered into a co-development and co-promotion (“Co/Co”) agreement with Regeneron for ATTR amyloidosis (the “ATTR Co/Co”). In May 2020, the Company entered into co-development and co-funding agreements for the treatment of hemophilia A and hemophilia B (the “Hemophilia A Co/Co” and the “Hemophilia B Co/Co” agreements). The Hemophilia B Co/Co ended in September 2024. The Company recognized $6.6 million and $15.0 million of collaboration revenue in the three and six months ended June 30, 2026, respectively, and $7.9 million and $14.9 million of collaboration revenue in the three and six months ended June 30, 2025, respectively, primarily representing payments due from Regeneron pursuant to the ATTR Co/Co agreement. The Company did not incur material costs related to the Hemophilia A Co/Co agreement during the three and six months ended June 30, 2026 and 2025. Since December 31, 2025, there have been no material changes to the key terms of the 2016 Regeneron Agreement, ATTR Co/Co or Hemophilia A Co/Co.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the Company had accounts receivable of $7.3 million and $9.5 million, respectively, related to the Regeneron agreements. The Company had no deferred revenue as of June 30, 2026, and deferred revenue of $7.3 million as of December 31, 2025, related to the Regeneron agreements.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Other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existing license and collaboration agreements with AvenCell Therapeutics, Inc. (“AvenCell”), Kyverna, and ONK Therapeutics, Ltd. (“ONK”). Since December 31, 2025, there have been no material changes to the key terms of the AvenCell, Kyverna and ONK license and collaboration agreements. The Company had no material revenue from these collaborations during the three and six months ended June 30, 2026 and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8. Investments and Other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Investments and other assets consisted of the following:</w:t>
      </w:r>
    </w:p>
    <w:tbl>
      <w:tblPr>
        <w:tblW w:w="6332" w:type="dxa"/>
        <w:jc w:val="left"/>
        <w:tblInd w:w="0" w:type="dxa"/>
        <w:tblLayout w:type="fixed"/>
        <w:tblCellMar>
          <w:top w:w="28" w:type="dxa"/>
          <w:left w:w="28" w:type="dxa"/>
          <w:bottom w:w="28" w:type="dxa"/>
          <w:right w:w="28" w:type="dxa"/>
        </w:tblCellMar>
      </w:tblPr>
      <w:tblGrid>
        <w:gridCol w:w="3721"/>
        <w:gridCol w:w="146"/>
        <w:gridCol w:w="211"/>
        <w:gridCol w:w="676"/>
        <w:gridCol w:w="146"/>
        <w:gridCol w:w="146"/>
        <w:gridCol w:w="260"/>
        <w:gridCol w:w="835"/>
        <w:gridCol w:w="1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Kyverna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equivalents,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assets,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Kyverna Therapeutics, Inc.</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and December 31, 2025, the Company’s investment in Kyverna is valued at $10.5 million and $11.0 million, respectively. The Company recognized an unrealized gain of $0.3 million and an unrealized loss of $0.6 million, respectively, recorded within “change in fair value of investments, net” in the condensed consolidated statements of operations and comprehensive loss during the three and six months ended June 30, 2026, associated with changes in the fair value of Kyverna’s common stock. The Company recognized an unrealized gain of $1.3 million and an unrealized loss of $0.8 million, respectively, recorded within “change in fair value of investments, net” in the condensed consolidated statements of operations and comprehensive loss during the three and six months ended June 30, 2025, associated with changes in the fair value of Kyverna’s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Other Investments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Company’s other investments consist of investments in private companies including SparingVision SAS (“SparingVision”) and AvenCell, both of which are accounted for under ASC 321, </w:t>
      </w:r>
      <w:r>
        <w:rPr>
          <w:rFonts w:ascii="Times New Roman" w:hAnsi="Times New Roman"/>
          <w:i/>
          <w:color w:val="000000"/>
          <w:sz w:val="20"/>
        </w:rPr>
        <w:t xml:space="preserve">Investments in Equity Securities </w:t>
      </w:r>
      <w:r>
        <w:rPr>
          <w:rFonts w:ascii="Times New Roman" w:hAnsi="Times New Roman"/>
          <w:color w:val="000000"/>
          <w:sz w:val="20"/>
        </w:rPr>
        <w:t>(“ASC 321”), using the measurement alternative at cost minus impairment, adjusted for changes in observable prices. The carrying value of the Company’s investments in SparingVision and AvenCell included within “Other investments” in the table above were $3.5 million and $7.9 million, respectively, as of June 30, 2026. There was</w:t>
      </w:r>
      <w:r>
        <w:rPr>
          <w:rFonts w:ascii="Times New Roman" w:hAnsi="Times New Roman"/>
          <w:color w:val="FF0000"/>
          <w:sz w:val="20"/>
        </w:rPr>
        <w:t xml:space="preserve"> </w:t>
      </w:r>
      <w:r>
        <w:rPr>
          <w:rFonts w:ascii="Times New Roman" w:hAnsi="Times New Roman"/>
          <w:color w:val="000000"/>
          <w:sz w:val="20"/>
        </w:rPr>
        <w:t>no change in the carrying value of these investments from December 31,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2025, the Company entered into a Second Amendment (the “Winter Street Amendment”) which will terminate the lease entered into by the Company in 2022 for space at 840 Winter Street, Waltham, Massachusetts (the “840 Winter Lease”) on or before June 30, 2028. In connection with the Winter Street Amendment, the Company paid the landlord lease modification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payments totaling $78.0 million in three installments, with $34.0 million paid in February 2025, $30.0 million paid in April 2025 and $14.0 million paid in January 2026. In conjunction with the Winter Street Amendment, also in February 2025, the Company entered into a lease agreement (the “Tech Square Lease”) with the same landlord as the 840 Winter Lease, for office and laboratory space located at 400 Technology Square, Cambridge, Massachusetts (“400 Tech Square”). </w:t>
      </w:r>
    </w:p>
    <w:p>
      <w:pPr>
        <w:pStyle w:val="TextBody"/>
        <w:bidi w:val="0"/>
        <w:spacing w:before="240" w:after="283"/>
        <w:jc w:val="both"/>
        <w:rPr>
          <w:rFonts w:ascii="Times New Roman" w:hAnsi="Times New Roman"/>
          <w:sz w:val="20"/>
        </w:rPr>
      </w:pPr>
      <w:r>
        <w:rPr>
          <w:rFonts w:ascii="Times New Roman" w:hAnsi="Times New Roman"/>
          <w:color w:val="000000"/>
          <w:sz w:val="20"/>
        </w:rPr>
        <w:t>Under the terms of the Tech Square Lease and subsequent amendments, the Company will lease approximately 125,000 square feet of office and laboratory space at 400 Tech Square. In addition, the Tech Square Lease will expand to include an additional 23,000 square feet of office and laboratory space at 400 Tech Square representing the 5</w:t>
      </w:r>
      <w:r>
        <w:rPr>
          <w:rFonts w:ascii="Times New Roman" w:hAnsi="Times New Roman"/>
          <w:color w:val="000000"/>
          <w:sz w:val="13"/>
        </w:rPr>
        <w:t>th</w:t>
      </w:r>
      <w:r>
        <w:rPr>
          <w:rFonts w:ascii="Times New Roman" w:hAnsi="Times New Roman"/>
          <w:color w:val="000000"/>
          <w:sz w:val="20"/>
        </w:rPr>
        <w:t xml:space="preserve"> floor (the “Additional Tech Square Premises”) when such space becomes available.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initial term of the Tech Square Lease is twelve years and three months beginning in September 2026 (the “Rent Commencement Date”). The Company’s obligation to pay rent will start in December 2026. The Company has an option to extend the Tech Square Lease for an additional term of five years. As of the Rent Commencement Date, the base rent under the Tech Square Lease will be $108.00 per square foot per year, plus certain operating expenses, and taxes. The base rent is subject to scheduled annual increases of 3% in July of each rent year. In addition, the Company is entitled to receive up to $410.00 per square foot of tenant improvement allowances. The Company has recorded $51.4 million of prepaid rent related to the Tech Square Lease within “Prepaid expenses and other current assets” in the condensed consolidated balance sheet as of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April 2026, as part of its efforts to streamline its real estate portfolio, the Company amended its lease for 130 Brookline Street in Cambridge, Massachusetts to shorten the term from mid-2031 to December 31, 2026, in exchange for a $3.9 million fee payable in two equal installments, due in July 2026 and January 2027. This transaction resulted in a reduction of the 130 Brookline Street right-of-use asset from the remeasurement of the lease liability of approximately $2.1 million.</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table below reconciles the undiscounted cash flows for each of the next five years and total of the remaining years to the operating lease liabilities recorded in the condensed consolidated balance sheet as of June 30, 2026:</w:t>
      </w:r>
    </w:p>
    <w:tbl>
      <w:tblPr>
        <w:tblW w:w="5518" w:type="dxa"/>
        <w:jc w:val="left"/>
        <w:tblInd w:w="0" w:type="dxa"/>
        <w:tblLayout w:type="fixed"/>
        <w:tblCellMar>
          <w:top w:w="28" w:type="dxa"/>
          <w:left w:w="28" w:type="dxa"/>
          <w:bottom w:w="28" w:type="dxa"/>
          <w:right w:w="28" w:type="dxa"/>
        </w:tblCellMar>
      </w:tblPr>
      <w:tblGrid>
        <w:gridCol w:w="4036"/>
        <w:gridCol w:w="146"/>
        <w:gridCol w:w="250"/>
        <w:gridCol w:w="875"/>
        <w:gridCol w:w="21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0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 Operating Lease Payments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Excluded from the Future Operating Lease Payments table above is $189.1 million related to the Tech Square Lease, which had not yet commenced as of June 30, 2026. The Tech Square Lease is expected to commence in the third quarter of 2026.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 Stock-Based Compensation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Stock-based compensation expense is classified in the condensed consolidated statements of operations and comprehensive loss as follows:</w:t>
      </w:r>
    </w:p>
    <w:tbl>
      <w:tblPr>
        <w:tblW w:w="7472" w:type="dxa"/>
        <w:jc w:val="left"/>
        <w:tblInd w:w="0" w:type="dxa"/>
        <w:tblLayout w:type="fixed"/>
        <w:tblCellMar>
          <w:top w:w="28" w:type="dxa"/>
          <w:left w:w="28" w:type="dxa"/>
          <w:bottom w:w="28" w:type="dxa"/>
          <w:right w:w="28" w:type="dxa"/>
        </w:tblCellMar>
      </w:tblPr>
      <w:tblGrid>
        <w:gridCol w:w="2311"/>
        <w:gridCol w:w="146"/>
        <w:gridCol w:w="231"/>
        <w:gridCol w:w="741"/>
        <w:gridCol w:w="160"/>
        <w:gridCol w:w="160"/>
        <w:gridCol w:w="231"/>
        <w:gridCol w:w="741"/>
        <w:gridCol w:w="146"/>
        <w:gridCol w:w="146"/>
        <w:gridCol w:w="211"/>
        <w:gridCol w:w="677"/>
        <w:gridCol w:w="146"/>
        <w:gridCol w:w="146"/>
        <w:gridCol w:w="211"/>
        <w:gridCol w:w="677"/>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8,632</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18,075</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Stock Option and Incentive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2016, the Company adopted the Amended and Restated 2015 Stock Option and Incentive Plan (the “2015 Plan”). The 2015 Plan provides for the grant of incentive stock options, non-qualified stock options, stock appreciation rights, restricted stock awards (“RSAs”), restricted stock units (“RSUs”) and other stock-based awards. Recipients of incentive stock options and non-qualified stock options are eligible to purchase shares of the Company’s common stock at an exercise price equal to the fair value of such stock on the grant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2025, the Company adopted the 2025 Equity Incentive Plan (the “2025 Plan”). The 2025 Plan provides for the grant of incentive stock options, non-qualified stock options, stock appreciation rights, RSAs, RSUs, unrestricted stock awards, cash-based awards and dividend equivalent rights. Recipients of incentive stock options and non-qualified stock options are eligible to purchase shares of the Company’s common stock at an exercise price equal to the fair value of such stock on the grant date. The Company no longer grants any awards under the 2015 Plan. The shares of common stock underlying any awards that are forfeited, cancelled, or otherwise terminated, other than by exercise, under the 2025 Plan and the 2015 Plan will be added back to the shares of common stock available for issuance under the 2025 Plan. As of June 30, 2026, there were 9,693,127 shares available for future issuance under the 2025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2024, the Company adopted the 2024 Inducement Plan, which was amended in December 2025 (as amended, the “Inducement Plan”). The Inducement Plan provides for the grant of non-qualified stock options, stock appreciation rights, RSAs, RSUs, unrestricted stock awards and dividend equivalent rights to individuals who are not employed by the Company. Recipients of non-qualified stock options are eligible to purchase shares of the Company’s common stock at an exercise price equal to the fair value of such stock on the grant date. At June 30, 2026, 1,249,456 shares were available for issuance under the Inducement Plan.</w:t>
      </w:r>
    </w:p>
    <w:p>
      <w:pPr>
        <w:pStyle w:val="TextBody"/>
        <w:bidi w:val="0"/>
        <w:spacing w:before="240" w:after="283"/>
        <w:jc w:val="both"/>
        <w:rPr>
          <w:rFonts w:ascii="Times New Roman" w:hAnsi="Times New Roman"/>
          <w:sz w:val="20"/>
        </w:rPr>
      </w:pPr>
      <w:r>
        <w:rPr>
          <w:rFonts w:ascii="Times New Roman" w:hAnsi="Times New Roman"/>
          <w:b/>
          <w:i/>
          <w:color w:val="000000"/>
          <w:sz w:val="20"/>
          <w:u w:val="single"/>
        </w:rPr>
        <w:t>Restricted Stock Units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the Company’s RSU activity for the six months ended June 30, 2026:</w:t>
      </w:r>
    </w:p>
    <w:tbl>
      <w:tblPr>
        <w:tblW w:w="7912" w:type="dxa"/>
        <w:jc w:val="left"/>
        <w:tblInd w:w="0" w:type="dxa"/>
        <w:tblLayout w:type="fixed"/>
        <w:tblCellMar>
          <w:top w:w="28" w:type="dxa"/>
          <w:left w:w="28" w:type="dxa"/>
          <w:bottom w:w="28" w:type="dxa"/>
          <w:right w:w="28" w:type="dxa"/>
        </w:tblCellMar>
      </w:tblPr>
      <w:tblGrid>
        <w:gridCol w:w="4651"/>
        <w:gridCol w:w="146"/>
        <w:gridCol w:w="146"/>
        <w:gridCol w:w="991"/>
        <w:gridCol w:w="166"/>
        <w:gridCol w:w="146"/>
        <w:gridCol w:w="343"/>
        <w:gridCol w:w="932"/>
        <w:gridCol w:w="3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5,196,121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6,418,171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weighted-average grant date fair value of all RSUs granted during the three and six months ended June 30, 2026 was $13.26 and $14.51, respectively. The total fair value of RSUs vested (measured on the date of vesting) for the three and six months ended June 30, 2026 was $1.6 million and $15.5 million, respectively. The weighted-average grant date fair value of all RSUs granted during the three and six months ended June 30, 2025 was $8.10 and $10.49, respectively. The total fair value of RSUs vested (measured on the date of vesting) for the three and six months ended June 30, 2025 was $1.4 million and $18.9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there was $62.6 million of unrecognized stock-based compensation expense related to all RSUs that are expected to vest. These costs are expected to be recognized over a weighted average remaining vesting period of 1.77 years.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Restricted Stock Units - Service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awards RSUs with a service condition to new employees upon hire, non-employee directors upon appointment, and to existing employees and non-employee directors as part of their annual grant. RSUs with a service condition granted to new and existing employees, and to non-employee directors upon appointment, generally vest as to one-third on the first anniversary of the original vesting date, with the balance vesting annually over the remaining two years. RSUs granted to non-employee directors with a service condition as part of their annual grant generally vest on the first anniversary of the original vesting date.</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six months ended June 30, 2026, the Company granted 2,978,441 RSUs with a service condition to new and existing employees and non-employee directors, which have the potential to vest over a period of approximately three years. The weighted average grant date fair value of these RSUs was $13.66.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Unvested restricted stock units as of June 30, 2026 in the table above includes 5,331,704 RSUs that are service-based.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Restricted Stock Units - Market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awards market-based RSUs to senior executives which have the potential to vest after a period of three years, with a vesting start date of January 1 in the year of grant, and the number of shares to be delivered will depend on the Company’s Total Shareholder Return (“TSR”), a market condition, over that period relative to a defined group of biotechnology companies. The number of market-based RSUs granted in the six months ended June 30, 2026 was 255,328 and their grant date fair value, calculated using a Monte Carlo valuation model, was $24.43. The following assumptions were used to determine the grant date fair value for the six months ended June 30, 2026: risk free interest rate: 3.4%; expected volatility: 80.9%. The expected term for these grants was approximately 3.0 years; the expected dividend yield was 0.0%.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Unvested restricted stock units as of June 30, 2026 in the table above includes 713,805 RSUs that are market-based.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Restricted Stock Units - Performance-Based Awards with TSR Multiplier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2024, performance-based RSUs (“PSUs”) with a relative TSR modifier were granted to senior executives. The number of PSUs with a relative TSR modifier granted in the year ended December 31, 2024 was 486,617. These PSUs, to the extent earned, shall vest on January 1, 2027, and the number of shares to be delivered will be determined based upon the achievement of certain performance goals, which can range from 0% to 200%. Following the determination of the achievement of performance criteria, the amount of shares awarded will be subject to adjustment based on the application of a TSR modifier, which can range from 75% to 125%. The grant date fair value for these PSUs, calculated using a Monte Carlo valuation model, was $36.16. The following assumptions were used to determine the grant date fair value: risk free interest rate: 4.28%; expected volatility: 77.2%; expected term: approximately 3.0 years; expected dividend yield: 0.0%. The Company recognizes compensation expense ratably over the required service period based on its estimate of the number of shares that will vest based upon the probability of achieving the performance goals.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PSUs with a relative TSR modifier granted in the six months ended June 30, 2026. Unvested restricted stock units as of June 30, 2026 in the table above includes 352,662 PSUs with a TSR multiplier.</w:t>
      </w:r>
    </w:p>
    <w:p>
      <w:pPr>
        <w:pStyle w:val="TextBody"/>
        <w:bidi w:val="0"/>
        <w:spacing w:before="240" w:after="283"/>
        <w:jc w:val="both"/>
        <w:rPr>
          <w:rFonts w:ascii="Times New Roman" w:hAnsi="Times New Roman"/>
          <w:b/>
          <w:i/>
          <w:color w:val="000000"/>
          <w:sz w:val="20"/>
          <w:u w:val="single"/>
        </w:rPr>
      </w:pPr>
      <w:r>
        <w:rPr>
          <w:rFonts w:ascii="Times New Roman" w:hAnsi="Times New Roman"/>
          <w:b/>
          <w:i/>
          <w:color w:val="000000"/>
          <w:sz w:val="20"/>
          <w:u w:val="single"/>
        </w:rPr>
        <w:t>Stock Options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weighted average grant date fair value of options, estimated as of the grant date using the Black-Scholes option pricing model, was $9.07 and $9.90 per option for those options granted during the three and six months ended June 30, 2026, respectively. The weighted average grant date fair value of options, estimated as of the grant date using the Black-Scholes option pricing model, was $5.74 and $6.79 per option for those options granted during the three and six months ended June 30, 2025, respectively. Weighted average assumptions used to apply this pricing model were as follows: </w:t>
      </w:r>
    </w:p>
    <w:tbl>
      <w:tblPr>
        <w:tblW w:w="8002" w:type="dxa"/>
        <w:jc w:val="left"/>
        <w:tblInd w:w="0" w:type="dxa"/>
        <w:tblLayout w:type="fixed"/>
        <w:tblCellMar>
          <w:top w:w="28" w:type="dxa"/>
          <w:left w:w="28" w:type="dxa"/>
          <w:bottom w:w="28" w:type="dxa"/>
          <w:right w:w="28" w:type="dxa"/>
        </w:tblCellMar>
      </w:tblPr>
      <w:tblGrid>
        <w:gridCol w:w="3331"/>
        <w:gridCol w:w="146"/>
        <w:gridCol w:w="1040"/>
        <w:gridCol w:w="184"/>
        <w:gridCol w:w="1040"/>
        <w:gridCol w:w="146"/>
        <w:gridCol w:w="948"/>
        <w:gridCol w:w="167"/>
        <w:gridCol w:w="1000"/>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years</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 years</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 years</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of underlying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82.4%</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75.8%</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bl>
    <w:p>
      <w:pPr>
        <w:pStyle w:val="TextBody"/>
        <w:bidi w:val="0"/>
        <w:spacing w:before="120" w:after="283"/>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The risk-free interest rate is based on the U.S. Treasury yield curve in effect at the time of grant with maturities approximately equal to the option’s expected term.</w:t>
      </w:r>
    </w:p>
    <w:p>
      <w:pPr>
        <w:pStyle w:val="TextBody"/>
        <w:bidi w:val="0"/>
        <w:spacing w:before="120" w:after="283"/>
        <w:jc w:val="both"/>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The expected term represents the period that stock option awards are expected to be outstanding. For option grants that are considered to be “plain vanilla,” the Company determines the expected term using the simplified method. The simplified method deems the term to be the average of the time-to-vesting and the contractual life of the options. The Company uses the simplified method because it concluded that its stock option exercise history does not provide a reasonable basis upon which to estimate expected term.</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Expected volatility is estimated based on actual movements in the Company’s stock price over the most recent historical periods, over the expected term of their stock option grants.</w:t>
      </w:r>
    </w:p>
    <w:p>
      <w:pPr>
        <w:pStyle w:val="TextBody"/>
        <w:bidi w:val="0"/>
        <w:spacing w:before="120" w:after="283"/>
        <w:jc w:val="both"/>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xml:space="preserve"> The Company has not paid cash dividends and has no intention to pay cash dividends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 options generally vest as to one-third on the first anniversary of the original vesting date, with the balance vesting monthly over the remaining two years, unless they contain other specific vesting provisions. The maximum term of stock options granted under the 2015 Plan, the 2025 Plan and the Inducement Plan is ten years.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is a summary of stock option activity for the six months ended June 30, 2026:</w:t>
      </w:r>
    </w:p>
    <w:tbl>
      <w:tblPr>
        <w:tblW w:w="8378" w:type="dxa"/>
        <w:jc w:val="left"/>
        <w:tblInd w:w="0" w:type="dxa"/>
        <w:tblLayout w:type="fixed"/>
        <w:tblCellMar>
          <w:top w:w="28" w:type="dxa"/>
          <w:left w:w="28" w:type="dxa"/>
          <w:bottom w:w="28" w:type="dxa"/>
          <w:right w:w="28" w:type="dxa"/>
        </w:tblCellMar>
      </w:tblPr>
      <w:tblGrid>
        <w:gridCol w:w="2941"/>
        <w:gridCol w:w="146"/>
        <w:gridCol w:w="146"/>
        <w:gridCol w:w="931"/>
        <w:gridCol w:w="166"/>
        <w:gridCol w:w="146"/>
        <w:gridCol w:w="214"/>
        <w:gridCol w:w="582"/>
        <w:gridCol w:w="146"/>
        <w:gridCol w:w="146"/>
        <w:gridCol w:w="236"/>
        <w:gridCol w:w="755"/>
        <w:gridCol w:w="146"/>
        <w:gridCol w:w="146"/>
        <w:gridCol w:w="271"/>
        <w:gridCol w:w="869"/>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5,173,766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5,720,716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The total intrinsic value (the amount by which the fair market value exceeded the exercise price) of stock options exercised during the three and six months ended June 30, 2026 was not material. There were no options exercised during the three and six months ended June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there was $9.0 million of unrecognized compensation cost related to stock options that have not yet vested, which are expected to be recognized over a weighted average remaining vesting period of 1.3 years.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2016, the Company adopted the 2016 Employee Stock Purchase Plan (the “2016 Plan”). The 2016 Plan allows eligible employees to purchase shares of the Company’s common stock on the last day of each predetermined six-month offering period at 85% of the lower of the fair market value per share at the beginning or end of the applicable offering period. The 2016 Plan provides for six-month offering periods beginning in January and July of each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there were 1,330,666 shares available for future issuance under the 2016 Plan. The number of shares reserved for issuance under the 2016 Plan was increased on January 1, 2026 by 500,000 shares of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and 2025 the Company issued 194,213 and 155,172 shares of common stock, respectively, under the 2016 Plan. The weighted-average purchase prices of shares issued under the 2016 Plan were $7.83 and $7.97 per share for the six-month periods ended June 30, 2026 and 2025, respectively.</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fair value of shares under the 2016 Plan was estimated at the beginning of the offering period using a Black-Scholes option-pricing model with the following assumptions:</w:t>
      </w:r>
    </w:p>
    <w:tbl>
      <w:tblPr>
        <w:tblW w:w="6517" w:type="dxa"/>
        <w:jc w:val="left"/>
        <w:tblInd w:w="0" w:type="dxa"/>
        <w:tblLayout w:type="fixed"/>
        <w:tblCellMar>
          <w:top w:w="28" w:type="dxa"/>
          <w:left w:w="28" w:type="dxa"/>
          <w:bottom w:w="28" w:type="dxa"/>
          <w:right w:w="28" w:type="dxa"/>
        </w:tblCellMar>
      </w:tblPr>
      <w:tblGrid>
        <w:gridCol w:w="3331"/>
        <w:gridCol w:w="146"/>
        <w:gridCol w:w="1309"/>
        <w:gridCol w:w="231"/>
        <w:gridCol w:w="1309"/>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and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3.59%</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 years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 years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of underlying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121.1%</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11.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calculates basic loss per share by dividing net loss for each respective period by the weighted average number of common shares outstanding for each respective period. The Company computes diluted loss per share after giving consideration to the dilutive effect of stock options and unvested restricted stock units that are outstanding during the period, except where such securities would be anti-dilutive.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Basic and diluted loss per share was calculated as follows:</w:t>
      </w:r>
    </w:p>
    <w:tbl>
      <w:tblPr>
        <w:tblW w:w="10137" w:type="dxa"/>
        <w:jc w:val="left"/>
        <w:tblInd w:w="0" w:type="dxa"/>
        <w:tblLayout w:type="fixed"/>
        <w:tblCellMar>
          <w:top w:w="28" w:type="dxa"/>
          <w:left w:w="28" w:type="dxa"/>
          <w:bottom w:w="28" w:type="dxa"/>
          <w:right w:w="28" w:type="dxa"/>
        </w:tblCellMar>
      </w:tblPr>
      <w:tblGrid>
        <w:gridCol w:w="4636"/>
        <w:gridCol w:w="146"/>
        <w:gridCol w:w="211"/>
        <w:gridCol w:w="841"/>
        <w:gridCol w:w="166"/>
        <w:gridCol w:w="146"/>
        <w:gridCol w:w="211"/>
        <w:gridCol w:w="841"/>
        <w:gridCol w:w="166"/>
        <w:gridCol w:w="146"/>
        <w:gridCol w:w="211"/>
        <w:gridCol w:w="841"/>
        <w:gridCol w:w="166"/>
        <w:gridCol w:w="146"/>
        <w:gridCol w:w="211"/>
        <w:gridCol w:w="841"/>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common stock equivalents were excluded from the calculation of diluted loss per share because their inclusion would have been anti-dilutive:</w:t>
      </w:r>
    </w:p>
    <w:tbl>
      <w:tblPr>
        <w:tblW w:w="5652" w:type="dxa"/>
        <w:jc w:val="left"/>
        <w:tblInd w:w="0" w:type="dxa"/>
        <w:tblLayout w:type="fixed"/>
        <w:tblCellMar>
          <w:top w:w="28" w:type="dxa"/>
          <w:left w:w="28" w:type="dxa"/>
          <w:bottom w:w="28" w:type="dxa"/>
          <w:right w:w="28" w:type="dxa"/>
        </w:tblCellMar>
      </w:tblPr>
      <w:tblGrid>
        <w:gridCol w:w="2611"/>
        <w:gridCol w:w="146"/>
        <w:gridCol w:w="1268"/>
        <w:gridCol w:w="274"/>
        <w:gridCol w:w="1353"/>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and Six Months Ended June 30,</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6,418</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12,139</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10,724</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12. Stockholders’ Equity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Follow-on Public Offering</w:t>
      </w:r>
    </w:p>
    <w:p>
      <w:pPr>
        <w:pStyle w:val="TextBody"/>
        <w:bidi w:val="0"/>
        <w:spacing w:before="120" w:after="283"/>
        <w:jc w:val="both"/>
        <w:rPr>
          <w:rFonts w:ascii="Times New Roman" w:hAnsi="Times New Roman"/>
          <w:sz w:val="20"/>
        </w:rPr>
      </w:pPr>
      <w:r>
        <w:rPr>
          <w:rFonts w:ascii="Times New Roman" w:hAnsi="Times New Roman"/>
          <w:color w:val="212529"/>
          <w:sz w:val="20"/>
        </w:rPr>
        <w:t xml:space="preserve">On April 28, 2026, the Company entered into an underwriting agreement related to a follow-on public offering of </w:t>
      </w:r>
      <w:r>
        <w:rPr>
          <w:rFonts w:ascii="Times New Roman" w:hAnsi="Times New Roman"/>
          <w:color w:val="000000"/>
          <w:sz w:val="20"/>
        </w:rPr>
        <w:t>16,744,187</w:t>
      </w:r>
      <w:r>
        <w:rPr>
          <w:rFonts w:ascii="Times New Roman" w:hAnsi="Times New Roman"/>
          <w:color w:val="212529"/>
          <w:sz w:val="20"/>
        </w:rPr>
        <w:t xml:space="preserve"> shares of its common stock at a public offering price of $10.75 per share. </w:t>
      </w:r>
      <w:r>
        <w:rPr>
          <w:rFonts w:ascii="Times New Roman" w:hAnsi="Times New Roman"/>
          <w:color w:val="000000"/>
          <w:sz w:val="20"/>
        </w:rPr>
        <w:t xml:space="preserve">Pursuant to the underwriting agreement, the Company granted a 30-day option to purchase up to an additional 2,511,628 shares of its common stock at the public offering price, less underwriting discounts and commissions. The option was exercised in full on April 29, 2026. </w:t>
      </w:r>
      <w:r>
        <w:rPr>
          <w:rFonts w:ascii="Times New Roman" w:hAnsi="Times New Roman"/>
          <w:color w:val="212529"/>
          <w:sz w:val="20"/>
        </w:rPr>
        <w:t>The offering closed on April 30, 2026, for aggregate net proceeds of $194.6 million after deducting underwriting discounts and commissions.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At-the-Market Offering Programs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2022 Sale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2022, the Company entered into an Open Market Sale Agreement (the “2022 Sale Agreement”) with Jefferies LLC (“Jefferies”), under which Jefferies was able to offer and sell, from time to time in “at-the-market” offerings, shares of the Company’s common stock having aggregate gross proceeds of up to $400.0 million. In February 2024, the Company entered into an amendment to the 2022 Sale Agreement to increase the size of the at-the-market offering program from $400.0 million to $750.0 million. In March 2026, the Company entered into Amendment No. 2 to the 2022 Sale Agreement (the “2022 Sale Agreement, as amended”) to increase the size of the at-the-market offering program from $750.0 million to $1,035.3 million. The Company agreed to pay cash commissions of up to 3.0% of the gross proceeds of sales of common stock under the 2022 Sale Agreement, as amended. Through June 30, 2026, the Company issued 28,925,501 shares of its common stock under the 2022 Sale Agreement, as amended. During the six months ended June 30, 2026, the Company issued 2,612,344 shares of its common stock, in a series of sales, at an average price of $13.21 per share, in accordance with the 2022 Sale Agreement, as amended, for aggregate net proceeds of $33.6 million, after commissions and offering costs. During the six months ended June 30, 2025, the Company issued 1,459,257 shares of its common stock, in a series of sales, at an average price of $9.64 per share, in accordance with the 2022 Sale Agreement, as amended, for aggregate net proceeds of $13.7 million, after payment of cash commissions. As of June 30, 2026, $368.5 million in shares of common stock remain eligible for sale under the 2022 Sale Agreement, as amended.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13. 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identified one operating and reportable segment: the development of gene editing-based therapies. All of the Company’s material assets are held in the U.S. and all of the Company’s collaboration revenue has been generated in the U.S. The operating segment’s revenue is primarily generated through collaboration arrangements with third parties. The Company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does not have any intra-entity sales or transfers. The Company manages all business activities on a consolidated basis. The Company’s chief operating decision maker (“CODM”) is the chief executive officer.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accounting policies for the segment are the same as those described in Note 2, “Summary of Significant Accounting Policies,” in the Company’s Annual Report for the year ended December 31, 2025. The CODM evaluates the performance of the operating segment and allocates resources based on net loss that also is reported on the consolidated statements of operations and comprehensive loss. The CODM uses net loss to monitor budget versus actual results and to analyze cash flows in assessing performance of the segment and allocating resources. The measure of the operating segment assets is reported on the consolidated balance sheets as total assets.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summarizes the reportable segment’s financial information:</w:t>
      </w:r>
    </w:p>
    <w:tbl>
      <w:tblPr>
        <w:tblW w:w="9308" w:type="dxa"/>
        <w:jc w:val="left"/>
        <w:tblInd w:w="0" w:type="dxa"/>
        <w:tblLayout w:type="fixed"/>
        <w:tblCellMar>
          <w:top w:w="28" w:type="dxa"/>
          <w:left w:w="28" w:type="dxa"/>
          <w:bottom w:w="28" w:type="dxa"/>
          <w:right w:w="28" w:type="dxa"/>
        </w:tblCellMar>
      </w:tblPr>
      <w:tblGrid>
        <w:gridCol w:w="3661"/>
        <w:gridCol w:w="146"/>
        <w:gridCol w:w="211"/>
        <w:gridCol w:w="841"/>
        <w:gridCol w:w="166"/>
        <w:gridCol w:w="146"/>
        <w:gridCol w:w="211"/>
        <w:gridCol w:w="841"/>
        <w:gridCol w:w="166"/>
        <w:gridCol w:w="146"/>
        <w:gridCol w:w="146"/>
        <w:gridCol w:w="211"/>
        <w:gridCol w:w="841"/>
        <w:gridCol w:w="166"/>
        <w:gridCol w:w="146"/>
        <w:gridCol w:w="211"/>
        <w:gridCol w:w="841"/>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External development expenses - nex-z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External development expenses - lonvo-z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research and development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information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and 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(215,584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Includes unallocated research and development expenses, including stock-based compensation of $9.4 million and $17.0 million for the three and six months ended June 30, 2026, respectively, and $14.1 million and $26.7 million for the three and six months ended June 30, 2025, respectively, as disclosed within Note 10, “Stock-Based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Includes stock-based compensation of $8.6 million and $14.5 million for the three and six months ended June 30, 2026, respectively, and $8.0 million and $17.2 million for the three and six months ended June 30, 2025, respectively, as disclosed within Note 10, “Stock-Based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Includes change in fair value of investments as disclosed in the Company’s condensed consolidated statements of operations and comprehensive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Depreciation and amortization expense totaled $2.1 million and $4.3 million for the three and six months ended June 30, 2026, respectively, and $2.5 million and $5.0 million for the three and six months ended June 30, 2025, respectively.</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9" w:name="item_2_management_discussion_and_analysi"/>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Forward-looking Information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This Quarterly Report on Form 10-Q contains forward-looking statements which are made pursuant to the safe harbor provisions of Section 27A of the Securities Act of 1933, as amended, and Section 21E of the Securities Exchange Act of 1934, as amended (the “Exchange Act”). These statements may be identified by such forward-looking terminology as “may,” “should,” “expects,” “intends,” “plans,” “anticipates,” “believes,” “estimates,” “predicts,” “potential,” “continue”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these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execute our planned commercial launch of lonvoguran ziclumeran (“lonvo-z,” previously referred to as NTLA-2002), our program for the treatment of hereditary angioedema (“HAE”), including that the U.S. Food and Drug Administration (“FDA”) will accept our submission of a biologics license application (“BLA”) seeking approval for lonvo-z in the second half of 2026, we expect to receive approval to market lonvo-z, and we plan to launch lonvo-z in the U.S. in the first half of 2027, or the success of such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execute our clinical study strategy for nexiguran ziclumeran (“nex-z,” previously referred to as NTLA-2001), our program for the treatment of transthyretin (“ATTR”) amyloidosis, including our ability to complete enrollment in MAGNITUDE-2 in the second half of 2026, and our ability to successfully complete the MAGNITUDE and MAGNITUDE-2 Phase 3 studies, or the success of such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manufacture or obtain materials for our preclinical and clinical studies, and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advance any product candidates into, and successfully complete, clinical studies, including clinical studies necessary for regulatory approval and commercialization, and to demonstrate to applicable regulators that the product candidates are safe and effective and that their benefits outweigh known and potential risks for the intended patient population;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advance our genome editing and therapeutic delivery capabilities, including our therapeutic delivery capabilities for tissues other than the liver;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protection we are able to develop, establish and maintain for intellectual property rights, including patents, trade secrets and license rights, covering our product candidates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operate, including commercializing products, without infringing or breaching the proprietary or contractual rights of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issuance or enforcement of, and compliance with, regulatory requirements and guidance regarding preclinical and clinical studies relevant to genome editing and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acceptance, pricing and reimbursement of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estimates of our expenses, future revenues, capital requirements and our needs for additional financing, including our ability to fund our ongoing operating expenses and capital expenditure requirements at least into 2028;</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benefits of strategic agreements, such as collaborations, co-development and co-commercialization, acquisitions, dispositions, mergers, joint ventures, and investment agreements, and our ability to establish and maintain strategic arrangements under favorable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acquire and maintain relevant intellectual property licenses and rights, and the scope and terms of such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use a modular platform capability or other strategies to efficiently discover and develop product candidates, including by applying learnings from one program to other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research, develop or maintain a pipeline of product candidates;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relating to our licensors, licensees, third parties and ventures from which we derive or license rights, as well as collaborators, competitors and our industry;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listed under the caption “Risk Factors.”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All of our express or implied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 Form 10-Q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p>
    <w:p>
      <w:pPr>
        <w:pStyle w:val="TextBody"/>
        <w:bidi w:val="0"/>
        <w:spacing w:before="240" w:after="283"/>
        <w:jc w:val="both"/>
        <w:rPr>
          <w:rFonts w:ascii="Times New Roman" w:hAnsi="Times New Roman"/>
          <w:sz w:val="20"/>
        </w:rPr>
      </w:pPr>
      <w:r>
        <w:rPr>
          <w:rFonts w:ascii="Times New Roman" w:hAnsi="Times New Roman"/>
          <w:b/>
          <w:i/>
          <w:color w:val="000000"/>
          <w:sz w:val="20"/>
        </w:rPr>
        <w:t>Management 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Intellia Therapeutics, Inc. (“we,” “us,” “our,” “Intellia,” or the “Company”) is a leading biopharmaceutical company, focused on revolutionizing medicine leveraging CRISPR gene editing and other core technologies. Our mission is to transform the lives of people with severe diseases by developing and commercializing potentially curative treatments. With deep scientific, technical and clinical development experience, we aim to reset the standard for medicine by durably treating the root causes of disease.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over a decade, we have applied our proprietary technologies and expertise, including CRISPR-based gene editing technologies, oligonucleotides, and lipid nanoparticles (“LNPs”), to develop novel, first-in-class product candidates. This includes the development of lonvoguran ziclumeran (“lonvo-z,” previously referred to as NTLA-2002) for the treatment of hereditary angioedema (“HAE”) and nexiguran ziclumeran (“nex-z,” previously referred to as NTLA-2001) for the treatment of transthyretin (“ATTR”) amyloidosis. These lead product candidates are the first </w:t>
      </w:r>
      <w:r>
        <w:rPr>
          <w:rFonts w:ascii="Times New Roman" w:hAnsi="Times New Roman"/>
          <w:i/>
          <w:color w:val="000000"/>
          <w:sz w:val="20"/>
        </w:rPr>
        <w:t>in vivo</w:t>
      </w:r>
      <w:r>
        <w:rPr>
          <w:rFonts w:ascii="Times New Roman" w:hAnsi="Times New Roman"/>
          <w:color w:val="000000"/>
          <w:sz w:val="20"/>
        </w:rPr>
        <w:t xml:space="preserve"> genome editing product candidates to advance into Phase 3 clinical development. These systemically administered CRISPR-based candidates are designed to address diseases with high unmet need with a single intravenous (“IV”) infusion that is administered in an outpatient setting. In April 2026, we reported positive topline data from the global Phase 3 HAELO clinical trial of lonvo-z in HAE, and preparations are underway for the planned commercial launch of lonvo-z in the first half of 2027, if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upon our unaudited condensed consolidated financial statements included in this Quarterly Report on Form 10-Q, which have been prepared by us in accordance with accounting principles generally accepted in the United States of America (“U.S. GAAP”) for interim periods and with Regulation S-X, promulgated under the Securities Exchange Act of 1934, as amended. This discussion and analysis should be read in conjunction with the unaudited condensed consolidated financial statements and the notes thereto included elsewhere in this Quarterly Report on Form 10-Q as well as in conjunction with the audited financial statements and notes thereto included in our Annual Report on Form 10-K (“Annual Report”) for the year ended December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strategy is to (1) advance the clinical development of our lead CRISPR-based product candidates, (2) build and leverage a fully integrated commercial-stage infrastructure, (3) expand our pipeline utilizing our expertise and proprietary technologies, and (4) collaborate with partners to expand our technology reach and maximize our return on investment. All of our revenue to date has been collaboration revenue. Since our inception and through June 30, 2026, we have funded our operations through our initial public offering (“IPO”), private placements, follow-on public offerings, at-the-market offerings, the sale of convertible preferred stock and through our collaboration agreements.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Pipeline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the first company to advance </w:t>
      </w:r>
      <w:r>
        <w:rPr>
          <w:rFonts w:ascii="Times New Roman" w:hAnsi="Times New Roman"/>
          <w:i/>
          <w:color w:val="000000"/>
          <w:sz w:val="20"/>
        </w:rPr>
        <w:t>in vivo</w:t>
      </w:r>
      <w:r>
        <w:rPr>
          <w:rFonts w:ascii="Times New Roman" w:hAnsi="Times New Roman"/>
          <w:color w:val="000000"/>
          <w:sz w:val="20"/>
        </w:rPr>
        <w:t xml:space="preserve"> genome editing product candidates into Phase 3 clinical development. These candidates are being developed for patients with HAE and ATTR amyloidosis. Our research efforts focus on pursuing additional targets within the liver and expanding our targets and delivery technology for diseases outside the liver.</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Hereditary Angioedema (“HAE”) Program</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Lonvo-z is a wholly owned, investigational </w:t>
      </w:r>
      <w:r>
        <w:rPr>
          <w:rFonts w:ascii="Times New Roman" w:hAnsi="Times New Roman"/>
          <w:i/>
          <w:color w:val="000000"/>
          <w:sz w:val="20"/>
        </w:rPr>
        <w:t>in vivo</w:t>
      </w:r>
      <w:r>
        <w:rPr>
          <w:rFonts w:ascii="Times New Roman" w:hAnsi="Times New Roman"/>
          <w:color w:val="000000"/>
          <w:sz w:val="20"/>
        </w:rPr>
        <w:t xml:space="preserve"> CRISPR-based therapeutic candidate designed to inactivate the </w:t>
      </w:r>
      <w:r>
        <w:rPr>
          <w:rFonts w:ascii="Times New Roman" w:hAnsi="Times New Roman"/>
          <w:i/>
          <w:color w:val="000000"/>
          <w:sz w:val="20"/>
        </w:rPr>
        <w:t xml:space="preserve">kallikrein B1 (“KLKB1”) </w:t>
      </w:r>
      <w:r>
        <w:rPr>
          <w:rFonts w:ascii="Times New Roman" w:hAnsi="Times New Roman"/>
          <w:color w:val="000000"/>
          <w:sz w:val="20"/>
        </w:rPr>
        <w:t>gene in the liver, drive consistent, deep and potentially lifelong reduction in kallikrein levels, and dramatically reduce or eliminate HAE attacks via a one-time treatment. It also aims to eliminate the significant burdens associated with currently available HAE therapies.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Lonvo-z Clinical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HAELO is our Phase 3 clinical study of lonvo-z for the treatment of HAE. HAELO is a global, randomized, double-blind, placebo-controlled study that was designed to evaluate the efficacy and safety of lonvo-z planned for 60 adults with Type I or Type II HAE. Patients were randomized 2:1 to receive a single 50 mg infusion of lonvo-z or placebo. Patients randomized to the placebo arm are eligible for optional crossover to lonvo-z at week 28. The primary endpoint is the number of HAE attacks from week 5 through week 28. In January 2025, we announced that the first patient had been dosed in the global Phase 3 study. In September 2025, we announced that enrollment was completed. In total, 80 patients were enrolled in the trial and received a one-time 50 mg dose of lonvo-z or placebo.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April 2026, we announced positive topline results from the global Phase 3 HAELO clinical trial. In June 2026, we reported additional data in a late-breaking oral session at the European Academy of Allergy &amp; Clinical Immunology Annual Congress 2026 and in a manuscript published in the </w:t>
      </w:r>
      <w:r>
        <w:rPr>
          <w:rFonts w:ascii="Times New Roman" w:hAnsi="Times New Roman"/>
          <w:i/>
          <w:color w:val="000000"/>
          <w:sz w:val="20"/>
        </w:rPr>
        <w:t>New England Journal of Medicine</w:t>
      </w:r>
      <w:r>
        <w:rPr>
          <w:rFonts w:ascii="Times New Roman" w:hAnsi="Times New Roman"/>
          <w:color w:val="000000"/>
          <w:sz w:val="20"/>
        </w:rPr>
        <w:t>. The trial met its primary endpoint. For the six-month efficacy evaluation period (weeks 5 to 28), a one-time infusion of lonvo-z reduced attacks by 87% versus placebo, with a mean monthly attack rate of 0.26 in the lonvo-z arm compared with 2.10 in the placebo arm (p&lt;0.0001). The trial met all of its key secondary endpoints with statistical significance (p&lt;0.0001). These included: 62% of patients were entirely attack free and therapy free in the lonvo-z arm for the six-month efficacy evaluation period, compared with 11% of patients in the placebo arm; the mean monthly rate of attacks requiring on-demand treatment was 0.19 in the lonvo-z arm for the six-month efficacy evaluation period, compared with 1.79 in the placebo arm; the mean monthly rate of moderate/severe attacks was 0.11 in the lonvo-z arm for the six-month efficacy evaluation period, compared with 1.23 in the placebo arm; and the change in Angioedema Quality of Life (“AE-QoL”) total score was -23.51 in the lonvo-z arm from baseline to Week 28, compared with -6.47 in the placebo arm. Additionally, all patients in the lonvo-z arm experienced attack-rate reductions from baseline compared with weeks 5 to 28; attack-rate reductions were observed for all evaluated subgroups; and all patients who received lonvo-z at baseline or in crossover after week 28 remained free from long-term prophylaxis therapy as of the February 10, 2026 data cutoff. Favorable safety and tolerability data were observed for lonvo-z. The most common treatment emergent adverse events (“TEAEs”) were infusion-related reactions, headache, fatigue, back pain, and upper respiratory tract infection. All TEAEs reported were mild or moderate (Grade 1 or Grade 2) and there were no serious adverse events observed in the lonvo-z arm.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significantly advanced our launch readiness activities in recent months, including finalizing our field medical, reimbursement and strategic accounts teams and engaging with HAE treatment centers around the U.S. In April 2026, we announced the initiation of a rolling biologics license application (“BLA”) to the U.S. Food and Drug Administration (“FDA”) for lonvo-z. We expect the FDA to accept our submission in the second half of 2026. If approved, we plan to launch lonvo-z commercially in the first half of 2027.</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Transthyretin (“ATTR”) Amyloidosis Program</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Nex-z is an investigational </w:t>
      </w:r>
      <w:r>
        <w:rPr>
          <w:rFonts w:ascii="Times New Roman" w:hAnsi="Times New Roman"/>
          <w:i/>
          <w:color w:val="000000"/>
          <w:sz w:val="20"/>
        </w:rPr>
        <w:t>in vivo</w:t>
      </w:r>
      <w:r>
        <w:rPr>
          <w:rFonts w:ascii="Times New Roman" w:hAnsi="Times New Roman"/>
          <w:color w:val="000000"/>
          <w:sz w:val="20"/>
        </w:rPr>
        <w:t xml:space="preserve"> CRISPR-based therapeutic candidate designed to inactivate the </w:t>
      </w:r>
      <w:r>
        <w:rPr>
          <w:rFonts w:ascii="Times New Roman" w:hAnsi="Times New Roman"/>
          <w:i/>
          <w:color w:val="000000"/>
          <w:sz w:val="20"/>
        </w:rPr>
        <w:t>TTR</w:t>
      </w:r>
      <w:r>
        <w:rPr>
          <w:rFonts w:ascii="Times New Roman" w:hAnsi="Times New Roman"/>
          <w:color w:val="000000"/>
          <w:sz w:val="20"/>
        </w:rPr>
        <w:t xml:space="preserve"> gene in the liver, thereby preventing the production of TTR protein. Delivered with our </w:t>
      </w:r>
      <w:r>
        <w:rPr>
          <w:rFonts w:ascii="Times New Roman" w:hAnsi="Times New Roman"/>
          <w:i/>
          <w:color w:val="000000"/>
          <w:sz w:val="20"/>
        </w:rPr>
        <w:t>in vivo</w:t>
      </w:r>
      <w:r>
        <w:rPr>
          <w:rFonts w:ascii="Times New Roman" w:hAnsi="Times New Roman"/>
          <w:color w:val="000000"/>
          <w:sz w:val="20"/>
        </w:rPr>
        <w:t xml:space="preserve"> LNP technology, nex-z offers the possibility of halting and reversing the disease by driving a deep, consistent and potentially lifelong reduction in TTR protein after a one-time treatment.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Nex-z Clinical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Intellia has advanced enrollment in its MAGNITUDE and MAGNITUDE-2 Phase 3 clinical trials of nex-z in ATTR amyloidosis with cardiomyopathy (“ATTR-CM”) and hereditary ATTR amyloidosis with polyneuropathy (“ATTRv-PN”), respectively. We remain on track to complete patient enrollment in MAGNITUDE-2 in the second half of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October 29, 2025, the FDA placed a clinical hold on the investigational new drug (“IND”) applications for the MAGNITUDE and MAGNITUDE-2 Phase 3 clinical trials for patients with ATTR-CM and ATTRv-PN, respectively. This action followed a report of Grade 4 liver transaminase elevations and increased total bilirubin in a patient who was dosed with nex-z in the MAGNITUDE trial. This patient passed away on November 5, 2025. It was reported by the principal investigator that the patient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died due to septic shock secondary to a perforated duodenal ulcer. The patient’s complicated clinical course also included acute liver injury and its treatment with corticosteroids. An autopsy report supported the clinical diagnoses.</w:t>
      </w:r>
    </w:p>
    <w:p>
      <w:pPr>
        <w:pStyle w:val="TextBody"/>
        <w:bidi w:val="0"/>
        <w:spacing w:before="240" w:after="283"/>
        <w:jc w:val="both"/>
        <w:rPr>
          <w:rFonts w:ascii="Times New Roman" w:hAnsi="Times New Roman"/>
          <w:sz w:val="20"/>
        </w:rPr>
      </w:pPr>
      <w:r>
        <w:rPr>
          <w:rFonts w:ascii="Times New Roman" w:hAnsi="Times New Roman"/>
          <w:color w:val="000000"/>
          <w:sz w:val="20"/>
        </w:rPr>
        <w:t>In January 2026, we announced</w:t>
      </w:r>
      <w:r>
        <w:rPr>
          <w:rFonts w:ascii="Times New Roman" w:hAnsi="Times New Roman"/>
          <w:color w:val="231F20"/>
          <w:sz w:val="20"/>
        </w:rPr>
        <w:t xml:space="preserve"> </w:t>
      </w:r>
      <w:r>
        <w:rPr>
          <w:rFonts w:ascii="Times New Roman" w:hAnsi="Times New Roman"/>
          <w:color w:val="000000"/>
          <w:sz w:val="20"/>
        </w:rPr>
        <w:t>that the FDA lifted the clinical hold on the IND for MAGNITUDE-2 for patients with ATTRv-PN. In March 2026, we announced that the FDA lifted the clinical hold on the IND for MAGNITUDE for patients with ATTR-CM. Patient enrollment is advancing in both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2026 we announced that, together with Regeneron Pharmaceuticals, Inc. (“Regeneron”) and other external experts, we recently conducted a comprehensive genomic analysis of more than 600 patient samples across nex-z clinical trials. The analysis revealed that the highest observed liver transaminase elevations were in patients carrying one specific human leukocyte antigen (“HLA”) allele. As we engage with the FDA regarding this finding, we will provide HLA genotyping results to investigators and patients enrolled or entering screening in the ongoing nex-z Phase 3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Nex-z is the subject of a co-development and co-promotion (“Co/Co”) agreement (the “ATTR Co/Co”) with Regeneron, for which we are the clinical and commercial lead party and Regeneron is the participating party. Regeneron shares in approximately 25% of worldwide development costs and commercial profits for the ATTR program and has an option to enter into a co-promotion agreement for the U.S. commercialization.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ATTR Amyloidosis with Cardiomyopathy (“ATTR-CM”):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2024, we initiated the pivotal Phase 3 MAGNITUDE trial. The MAGNITUDE trial is an international, randomized, double-blind, placebo-controlled study to evaluate the efficacy and safety of nex-z in approximately 1,200 adults with ATTR-CM. The primary endpoint of the study is a composite of cardiovascular (“CV”)-related mortality and events. Patients are randomized 2:1 nex-z:placebo, with a single 55 mg infusion of nex-z administered.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2025, we presented positive follow-up data from the ongoing Phase 1 clinical trial of nex-z in patients with ATTR-CM at the American Heart Association Scientific Sessions. The data were as of an August 23, 2025, data cut-off date. Across all 36 patients, a one-time treatment of nex-z led to consistent and durable reductions in serum TTR, regardless of baseline levels, through the latest follow-up. Among the nine patients who reached 36 months of follow-up, the mean serum TTR reduction was 87%. Patients dosed with nex-z continued to show evidence of disease stabilization or improvement as evidenced by multiple markers of cardiomyopathy, including N-terminal pro-B-type natriuretic peptide, high sensitivity Troponin T, 6-minute walk test, Kansas City Cardiomyopathy Questionnaire and echocardiographic measures. The most commonly reported treatment-related adverse events were infusion-related reactions (“IRRs”) and transaminase elevations. Additionally, data from a post-hoc analysis was presented from a cohort of 1,792 ATTR-CM patients from the National Amyloidosis Center (“NAC”) who were followed contemporaneously and whose baseline characteristics were matched to those of the Phase 1 nex-z population. The analysis showed patients receiving a one-time treatment with nex-z had an all-cause mortality rate of 3.9 per 100 patient-years, while the matched cohort had an all-cause mortality rate of 12.7 per 100 patient-years. Nex-z was generally well tolerated across all patients in the Phase 1 clinical trial.</w:t>
      </w:r>
    </w:p>
    <w:p>
      <w:pPr>
        <w:pStyle w:val="TextBody"/>
        <w:bidi w:val="0"/>
        <w:spacing w:before="240" w:after="283"/>
        <w:jc w:val="both"/>
        <w:rPr>
          <w:rFonts w:ascii="Times New Roman" w:hAnsi="Times New Roman"/>
          <w:sz w:val="20"/>
        </w:rPr>
      </w:pPr>
      <w:r>
        <w:rPr>
          <w:rFonts w:ascii="Times New Roman" w:hAnsi="Times New Roman"/>
          <w:i/>
          <w:color w:val="000000"/>
          <w:sz w:val="20"/>
        </w:rPr>
        <w:t>Hereditary ATTR Amyloidosis with Polyneuropathy (“ATTRv-PN”):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we announced that the FDA had cleared our nex-z IND application to initiate the MAGNITUDE-2 pivotal Phase 3 trial for ATTRv-PN. MAGNITUDE-2 is an international, randomized, double-blind, placebo-controlled study to evaluate the efficacy and safety of nex-z in 50 adults with ATTRv-PN. Patients will be randomized 1:1 to receive a single 55 mg infusion of nex-z or placebo. Patients randomized to the placebo arm will be eligible for optional crossover to receive nex-z following month 18. The primary endpoints are the change from baseline in modified Neuropathy Impairment Score +7 (mNIS+7) at month 18 and serum TTR at day 29. The mNIS+7 scale is a validated measure specifically designed to assess and quantify polyneuropathy impairment, including muscle weakness, muscle stretch reflexes, sensory loss and autonomic impairment. In April 2025, we announced that the first patient was randomized and dosed with nex-z in the global Phase 3 MAGNITUDE-2 study.</w:t>
      </w:r>
    </w:p>
    <w:p>
      <w:pPr>
        <w:pStyle w:val="TextBody"/>
        <w:bidi w:val="0"/>
        <w:spacing w:before="240" w:after="283"/>
        <w:jc w:val="both"/>
        <w:rPr>
          <w:rFonts w:ascii="Times New Roman" w:hAnsi="Times New Roman"/>
          <w:sz w:val="20"/>
        </w:rPr>
      </w:pPr>
      <w:r>
        <w:rPr>
          <w:rFonts w:ascii="Times New Roman" w:hAnsi="Times New Roman"/>
          <w:color w:val="000000"/>
          <w:sz w:val="20"/>
        </w:rPr>
        <w:t>In September 2025, we presented updated data from our Phase 1 clinical trial of nex-z in patients with ATTRv-PN at the 5</w:t>
      </w:r>
      <w:r>
        <w:rPr>
          <w:rFonts w:ascii="Times New Roman" w:hAnsi="Times New Roman"/>
          <w:color w:val="000000"/>
          <w:sz w:val="13"/>
        </w:rPr>
        <w:t>th</w:t>
      </w:r>
      <w:r>
        <w:rPr>
          <w:rFonts w:ascii="Times New Roman" w:hAnsi="Times New Roman"/>
          <w:color w:val="000000"/>
          <w:sz w:val="20"/>
        </w:rPr>
        <w:t xml:space="preserve"> International ATTR Amyloidosis Annual Meeting for Patients and Doctors in Baveno, Italy. The results were simultaneously published in the </w:t>
      </w:r>
      <w:r>
        <w:rPr>
          <w:rFonts w:ascii="Times New Roman" w:hAnsi="Times New Roman"/>
          <w:i/>
          <w:color w:val="000000"/>
          <w:sz w:val="20"/>
        </w:rPr>
        <w:t>New England Journal of Medicine</w:t>
      </w:r>
      <w:r>
        <w:rPr>
          <w:rFonts w:ascii="Times New Roman" w:hAnsi="Times New Roman"/>
          <w:color w:val="000000"/>
          <w:sz w:val="20"/>
        </w:rPr>
        <w:t xml:space="preserve">. Deep, durable and consistent TTR reductions continued to be observed. Across the 33 patients who received a one-time dose of 0.3 mg/kg or higher, the mean serum TTR reduction at 24 months was 92% and among the 12 patients who had reached 36 months of follow-up, the mean serum TTR reduction was 90%. Favorable trends indicating stability or improvement were observed in most patients with ATTRv-PN after a single dose of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nex-z as evidenced by multiple clinical and biomarker measures, including Neuropathy Impairment Score, modified Neuropathy Impairment Score +7, modified body mass index, Norfolk Quality of Life-Diabetic Neuropathy questionnaire, neurofilament light chain, and polyneuropathy disability score. Nex-z was generally well tolerated as of the data cutoff date across all patients and at all dose levels tested. The most commonly reported treatment-related adverse events were infusion-related reactions, which were mild or moderate and did not result in any discontinuations. As previously reported, three participants had Grade 3 or greater liver enzyme elevations that were not considered serious, were asymptomatic and resolved spontaneously without medical intervention or sequelae.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remain on track to complete patient enrollment in MAGNITUDE-2 in the second half of 2026.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Collaborations and Other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order to treat—and potentially cure—a broader range of severe diseases, we and our collaboration partners are advancing the development of additional clinical and preclinical product candidates. Throughout our history, we have leveraged collaborations to expand and accelerate the development of product candidates. Our current relationships include our collaboration with Regeneron and other research collaborations focused on the development of product candidates. See Note 7, “Collaborations and Other Arrangements” of our condensed consolidated financial statements appearing elsewhere in this Quarterly Report on Form 10-Q for additional information related to the terms of the agreements between us and our collaborators.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Financial Overview</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revenue consists of collaboration revenue, including amounts recognized related to upfront technology access payments for licenses, technology access fees, research materials shipped, research funding and milestone payments earned under our license and collaboration agreements.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 of expenses incurred in performing research and development activities, such as compensation and benefits, which includes stock-based compensation, for full-time research and development employees, allocated facility-related expenses, overhead expenses, license and milestone fees, contract research, development and manufacturing services, clinical trial costs and other related costs.</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compensation and benefits, including stock-based compensation, for our executive, finance, legal, human resources, business development and support functions. Also included in general and administrative expenses are allocated facility-related costs not otherwise included in research and development expenses, adjustments related to impairment or accelerated amortization of long-lived assets, ongoing expenses related to the buildout of our commercial infrastructure, travel expenses and professional fees for auditing, tax and legal services, including intellectual property-related legal services, and other consulting fees and expenses.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and six months ended June 30, 2026 and 2025, other income (expense), net consists of interest income earned on our cash, cash equivalents, restricted cash equivalents and marketable securities and change in the fair value of our investments.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discussion of the financial condition and results of operations should be read in conjunction with the accompanying condensed consolidated financial statements and the related footnotes thereto.</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Comparison of Three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results of operations:</w:t>
      </w:r>
    </w:p>
    <w:tbl>
      <w:tblPr>
        <w:tblW w:w="8216" w:type="dxa"/>
        <w:jc w:val="left"/>
        <w:tblInd w:w="0" w:type="dxa"/>
        <w:tblLayout w:type="fixed"/>
        <w:tblCellMar>
          <w:top w:w="28" w:type="dxa"/>
          <w:left w:w="28" w:type="dxa"/>
          <w:bottom w:w="28" w:type="dxa"/>
          <w:right w:w="28" w:type="dxa"/>
        </w:tblCellMar>
      </w:tblPr>
      <w:tblGrid>
        <w:gridCol w:w="3546"/>
        <w:gridCol w:w="146"/>
        <w:gridCol w:w="211"/>
        <w:gridCol w:w="841"/>
        <w:gridCol w:w="166"/>
        <w:gridCol w:w="146"/>
        <w:gridCol w:w="211"/>
        <w:gridCol w:w="841"/>
        <w:gridCol w:w="166"/>
        <w:gridCol w:w="146"/>
        <w:gridCol w:w="264"/>
        <w:gridCol w:w="921"/>
        <w:gridCol w:w="611"/>
      </w:tblGrid>
      <w:tr>
        <w:trPr/>
        <w:tc>
          <w:tcPr>
            <w:tcW w:w="3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Period-to-</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 revenue decreased by $6.6 million during the three months ended June 30, 2026, as compared to the three months ended June 30, 2025. The decrease in collaboration revenue is primarily due to reductions in revenue under the 2016 Regeneron Agreement and the ATTR Co/Co.</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decreased by $14.4 million during the three months ended June 30, 2026, as compared to the three months ended June 30, 2025.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summarizes our research and development expenses, together with the changes in those items in dollars and the respective percentages of change:</w:t>
      </w:r>
    </w:p>
    <w:tbl>
      <w:tblPr>
        <w:tblW w:w="9633" w:type="dxa"/>
        <w:jc w:val="left"/>
        <w:tblInd w:w="0" w:type="dxa"/>
        <w:tblLayout w:type="fixed"/>
        <w:tblCellMar>
          <w:top w:w="28" w:type="dxa"/>
          <w:left w:w="28" w:type="dxa"/>
          <w:bottom w:w="28" w:type="dxa"/>
          <w:right w:w="28" w:type="dxa"/>
        </w:tblCellMar>
      </w:tblPr>
      <w:tblGrid>
        <w:gridCol w:w="4111"/>
        <w:gridCol w:w="146"/>
        <w:gridCol w:w="146"/>
        <w:gridCol w:w="231"/>
        <w:gridCol w:w="741"/>
        <w:gridCol w:w="160"/>
        <w:gridCol w:w="160"/>
        <w:gridCol w:w="231"/>
        <w:gridCol w:w="741"/>
        <w:gridCol w:w="146"/>
        <w:gridCol w:w="146"/>
        <w:gridCol w:w="264"/>
        <w:gridCol w:w="921"/>
        <w:gridCol w:w="166"/>
        <w:gridCol w:w="146"/>
        <w:gridCol w:w="184"/>
        <w:gridCol w:w="477"/>
        <w:gridCol w:w="5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Period-to-</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Nex-z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Lonvo-z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23,377</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materials and contracted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82,595</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decrease in research and development expenses for the three months ended June 30, 2026 compared to the three months ended June 30, 2025 was primarily attributable to:</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 $5.7 million decrease</w:t>
      </w:r>
      <w:r>
        <w:rPr>
          <w:color w:val="FF0000"/>
        </w:rPr>
        <w:t xml:space="preserve"> </w:t>
      </w:r>
      <w:r>
        <w:rPr>
          <w:rFonts w:ascii="Times New Roman" w:hAnsi="Times New Roman"/>
          <w:color w:val="000000"/>
          <w:sz w:val="20"/>
        </w:rPr>
        <w:t>in external costs related to the development of nex-z, one of our lead product candidates, primarily due to a decrease in spend on contracted services and consulting fees;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$2.5 million decrease in external costs related to the development of lonvo-z, one of our lead product candidates, primarily due to a decrease in spend on drug components and contracted services, offset in part by an increase in consulting fees;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$1.9 million increase in employee-related expenses driven primarily by increased employee headcount in 2026, offset in part by a decrease in consulting fees;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$3.0 million decrease in research materials and contracted services driven primarily by a decrease in spend on drug components;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 $0.9 million decrease</w:t>
      </w:r>
      <w:r>
        <w:rPr>
          <w:color w:val="FF0000"/>
        </w:rPr>
        <w:t xml:space="preserve"> </w:t>
      </w:r>
      <w:r>
        <w:rPr>
          <w:rFonts w:ascii="Times New Roman" w:hAnsi="Times New Roman"/>
          <w:color w:val="000000"/>
          <w:sz w:val="20"/>
        </w:rPr>
        <w:t>in facility-related expenses primarily related to a decrease in rent expense allocated to research and development; and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 $4.6 million decrease</w:t>
      </w:r>
      <w:r>
        <w:rPr>
          <w:color w:val="FF0000"/>
        </w:rPr>
        <w:t xml:space="preserve"> </w:t>
      </w:r>
      <w:r>
        <w:rPr>
          <w:rFonts w:ascii="Times New Roman" w:hAnsi="Times New Roman"/>
          <w:color w:val="000000"/>
          <w:sz w:val="20"/>
        </w:rPr>
        <w:t xml:space="preserve">in stock-based compensation driven by lower grant date fair values of share-based awards granted in the current period.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increased by $10.6 million during the three months ended June 30, 2026, as compared to the three months ended June 30, 2025. This increase is primarily related to increased legal expenses, compensation, and consulting costs associated with the continued buildout of a commercial function.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decrease in other income, net of $2.6 million is primarily related to a $1.6 million decrease in interest income and a $1.0 million decrease in income due to the change in fair value of our investment.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Comparison of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w:t>
      </w:r>
    </w:p>
    <w:p>
      <w:pPr>
        <w:pStyle w:val="TextBody"/>
        <w:bidi w:val="0"/>
        <w:jc w:val="left"/>
        <w:rPr/>
      </w:pPr>
      <w:r>
        <w:rPr/>
        <w:t> </w:t>
      </w:r>
    </w:p>
    <w:tbl>
      <w:tblPr>
        <w:tblW w:w="8196" w:type="dxa"/>
        <w:jc w:val="left"/>
        <w:tblInd w:w="0" w:type="dxa"/>
        <w:tblLayout w:type="fixed"/>
        <w:tblCellMar>
          <w:top w:w="28" w:type="dxa"/>
          <w:left w:w="28" w:type="dxa"/>
          <w:bottom w:w="28" w:type="dxa"/>
          <w:right w:w="28" w:type="dxa"/>
        </w:tblCellMar>
      </w:tblPr>
      <w:tblGrid>
        <w:gridCol w:w="3546"/>
        <w:gridCol w:w="146"/>
        <w:gridCol w:w="211"/>
        <w:gridCol w:w="841"/>
        <w:gridCol w:w="166"/>
        <w:gridCol w:w="146"/>
        <w:gridCol w:w="211"/>
        <w:gridCol w:w="841"/>
        <w:gridCol w:w="166"/>
        <w:gridCol w:w="146"/>
        <w:gridCol w:w="264"/>
        <w:gridCol w:w="921"/>
        <w:gridCol w:w="591"/>
      </w:tblGrid>
      <w:tr>
        <w:trPr/>
        <w:tc>
          <w:tcPr>
            <w:tcW w:w="3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Period-to-</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 revenue decreased by $8.2 million to $22.7 million during the six months ended June 30, 2026, as compared to $30.9 million during the six months ended June 30, 2025. The decrease in collaboration revenue during the six months ended June 30, 2026 is primarily due to a reduction in revenue under the 2016 Regeneron Agreement, the achievement of a development milestone for the hemophilia B program under the 2016 Regeneron Agreement in 2025, and decreased material shipments to collaboration partners. Refer to Note 7 to our condensed consolidated financial statements appearing elsewhere in this Quarterly Report on Form 10-Q for further details.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decreased by $42.1 million to $163.3 million during the six months ended June 30, 2026, as compared to $205.5 million during the six months ended June 30, 2025.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summarizes our research and development expenses, together with the changes in those items in dollars and the respective percentages of change:</w:t>
      </w:r>
    </w:p>
    <w:tbl>
      <w:tblPr>
        <w:tblW w:w="9645" w:type="dxa"/>
        <w:jc w:val="left"/>
        <w:tblInd w:w="0" w:type="dxa"/>
        <w:tblLayout w:type="fixed"/>
        <w:tblCellMar>
          <w:top w:w="28" w:type="dxa"/>
          <w:left w:w="28" w:type="dxa"/>
          <w:bottom w:w="28" w:type="dxa"/>
          <w:right w:w="28" w:type="dxa"/>
        </w:tblCellMar>
      </w:tblPr>
      <w:tblGrid>
        <w:gridCol w:w="4111"/>
        <w:gridCol w:w="146"/>
        <w:gridCol w:w="146"/>
        <w:gridCol w:w="211"/>
        <w:gridCol w:w="781"/>
        <w:gridCol w:w="146"/>
        <w:gridCol w:w="146"/>
        <w:gridCol w:w="211"/>
        <w:gridCol w:w="781"/>
        <w:gridCol w:w="146"/>
        <w:gridCol w:w="146"/>
        <w:gridCol w:w="264"/>
        <w:gridCol w:w="921"/>
        <w:gridCol w:w="166"/>
        <w:gridCol w:w="146"/>
        <w:gridCol w:w="184"/>
        <w:gridCol w:w="477"/>
        <w:gridCol w:w="5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Period-to-</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Nex-z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Lonvo-z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materials and contracted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Facility-related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decrease in research and development expenses for the six months ended June 30, 2026 compared to the six months ended June 30, 2025 was primarily attributable to: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an $8.6 million decrease in external costs related to the development of nex-z, one of our lead product candidates, primarily due to a decrease in spend on contracted services, drug components and consulting fees;</w:t>
      </w:r>
      <w:r>
        <w:rPr>
          <w:color w:val="FF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$5.0 million decrease in external costs related to the development of lonvo-z, one of our lead product candidates, primarily due to a decrease in spend on drug components, offset in part by an increase in consulting fees;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$5.0 million decrease in employee-related expenses driven primarily by decreased consulting fees and severance expense related to a workforce reduction in January 2025, offset in part by an increase in compensation costs due to an increase in headcount in 2026;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$10.6 million decrease in research materials and contracted services primarily driven by internal research and development spend, contracted services and drug components;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$3.3 million decrease in facility-related expenses primarily related to a decrease in rent expense allocated to research and development;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$9.7 million decrease in stock-based compensation driven by lower grant date fair values of share-based awards.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increased by $16.5 million during the six months ended June 30, 2026, as compared to the six months ended June 30, 2025. This increase was primarily related to an increase in legal expenses, as well as increased compensation and consulting costs associated with the continued buildout of a commercial function.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decrease in other income, net of $4.8 million is primarily related to a $5.0 million decrease in interest income, offset by a $0.2 million decrease in expense due to the change in fair value of our investments.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through June 30, 2026, we have funded our operations through an initial public offering, private placements, follow-on public offerings, at-the-market offerings, the sale of convertible preferred stock and through our collaboration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we had $628.4 million in cash, cash equivalents and marketable securities.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Follow-on Public Offering</w:t>
      </w:r>
    </w:p>
    <w:p>
      <w:pPr>
        <w:pStyle w:val="TextBody"/>
        <w:bidi w:val="0"/>
        <w:spacing w:before="120" w:after="283"/>
        <w:jc w:val="both"/>
        <w:rPr>
          <w:rFonts w:ascii="Times New Roman" w:hAnsi="Times New Roman"/>
          <w:sz w:val="20"/>
        </w:rPr>
      </w:pPr>
      <w:r>
        <w:rPr>
          <w:rFonts w:ascii="Times New Roman" w:hAnsi="Times New Roman"/>
          <w:color w:val="212529"/>
          <w:sz w:val="20"/>
        </w:rPr>
        <w:t xml:space="preserve">On April 28, 2026, we entered into an underwriting agreement related to a follow-on public offering of </w:t>
      </w:r>
      <w:r>
        <w:rPr>
          <w:rFonts w:ascii="Times New Roman" w:hAnsi="Times New Roman"/>
          <w:color w:val="000000"/>
          <w:sz w:val="20"/>
        </w:rPr>
        <w:t>16,744,187</w:t>
      </w:r>
      <w:r>
        <w:rPr>
          <w:rFonts w:ascii="Times New Roman" w:hAnsi="Times New Roman"/>
          <w:color w:val="212529"/>
          <w:sz w:val="20"/>
        </w:rPr>
        <w:t xml:space="preserve"> shares of our common stock at a public offering price of $10.75 per share. </w:t>
      </w:r>
      <w:r>
        <w:rPr>
          <w:rFonts w:ascii="Times New Roman" w:hAnsi="Times New Roman"/>
          <w:color w:val="000000"/>
          <w:sz w:val="20"/>
        </w:rPr>
        <w:t xml:space="preserve">Pursuant to the underwriting agreement, we granted a 30-day option to purchase up to an additional 2,511,628 shares of our common stock at the public offering price, less underwriting discounts and commissions. The option was exercised in full on April 29, 2026. </w:t>
      </w:r>
      <w:r>
        <w:rPr>
          <w:rFonts w:ascii="Times New Roman" w:hAnsi="Times New Roman"/>
          <w:color w:val="212529"/>
          <w:sz w:val="20"/>
        </w:rPr>
        <w:t>The offering closed on April 30, 2026, for aggregate net proceeds of $194.6 million after deducting underwriting discounts and commissions.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At-the-Market Offering Programs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2022 Sale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2022, we entered into an Open Market Sale Agreement (the “2022 Sale Agreement”) with Jefferies LLC (“Jefferies”), under which Jefferies was able to offer and sell, from time to time in “at-the-market” offerings, shares of our common stock having aggregate gross proceeds of up to $400.0 million. In February 2024, we entered into an amendment to the 2022 Sale Agreement to increase the size of the at-the-market offering program from $400.0 million to $750.0 million. In March 2026, we entered into Amendment No. 2 to the 2022 Sale Agreement (the “2022 Sale Agreement, as amended”) to increase the size of the at-the-market offering program from $750.0 million to $1,035.3 million. We agreed to pay cash commissions of up to 3.0% of the gross proceeds of sales of common stock under the 2022 Sale Agreement, as amended. Through June 30, 2026 we have issued 28,925,501 shares of our common stock under the 2022 Sale Agreement, as amended. During the six months ended June 30, 2026, we issued 2,612,344 shares of our common stock, in a series of sales, at an average price of $13.21 per share, in accordance with the 2022 Sale Agreement, as amended, for aggregate net proceeds of $33.6 million, after commissions and offering costs. As of June 30, 2026, $368.5 million in shares of common stock remain eligible for sale under the 2022 Sale Agreement, as amended.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Funding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primary uses of capital are, and we expect will continue to be, research and development research materials and contracted services, clinical trial costs, compensation and related expenses, laboratory and office facilities, research supplies, legal and regulatory expenses, patent prosecution filing and maintenance costs for our licensed intellectual property, commercial launch capabilities, milestone and royalty payments and general overhead costs. During 2026, we expect our research and development expenses to decrease compared to prior periods as we focus resources on high value programs within our pipeline, such as lonvo-z and nex-z, to ensure efficient execution, achieve near-term clinical milestones, and prepare for commercial launch. We expect the decrease in research and development expenses to be mostly offset by increased expenses in 2026 related to our ongoing buildout of a commercial infrastructure.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our lead programs are in the clinical stage and the outcome of these efforts is uncertain, we cannot estimate the actual amounts necessary to successfully complete the development and commercialization of any future product candidates or whether, or when, we may achieve profitability. Until such time as we can generate substantial product revenues, if ever, we expect to fund our ongoing cash needs through financings and collaboration arrangements. We receive cost reimbursements from Regeneron related to our collaboration agreements with Regeneron. Additionally, we are eligible to earn milestone payments and royalties upon achievement of certain events under our collaboration agreements. Except for these sources of funding, we will not have any committed external source of liquidity. To the extent that we raise additional capital through the future sale of equity, the ownership interest of our stockholders will be diluted, and the terms of these securities may include liquidation or other preferences that adversely affect the rights of our existing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Outlook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our research and development plans and our expectations related to the progress of our programs, we expect that our cash, cash equivalents and marketable securities as of June 30, 2026, the net proceeds from our April 2026 equity offering, as well as research and cost reimbursement funding from our collaboration agreements, will enable us to fund our ongoing operating expenses and capital expenditure requirements at least into 2028, excluding any potential milestone payments or extension fees that could be earned and distributed under our collaboration agreements, any strategic use of capital not currently in the base case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planning assumptions and any potential commercial revenues from lonvo-z. We have based this estimate on current assumptions that may prove to be wrong, and we could use our capital resources sooner than we expect.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generate revenue and achieve profitability depends significantly on our success in many areas, including: developing our delivery technologies and our CRISPR/Cas9 technology platform; selecting appropriate product candidates to develop; completing research and preclinical and clinical development of selected product candidates; obtaining regulatory approvals and marketing authorizations for product candidates for which we complete clinical trials; developing a sustainable and scalable manufacturing process for product candidates; launching and commercializing product candidates for which we obtain regulatory approvals and marketing authorizations, either directly or with a collaborator or distributor; obtaining market acceptance and pricing approvals for our product candidates; addressing any competing technological and market developments; negotiating favorable terms in any collaboration, licensing, or other arrangements into which we may enter; maintaining good relationships with our collaborators and licensors; maintaining, protecting, and expanding our portfolio of intellectual property rights, including patents, trade secrets, and know-how; and attracting, hiring, and retaining qualified personnel.</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cash flows:</w:t>
      </w:r>
    </w:p>
    <w:tbl>
      <w:tblPr>
        <w:tblW w:w="7034" w:type="dxa"/>
        <w:jc w:val="left"/>
        <w:tblInd w:w="0" w:type="dxa"/>
        <w:tblLayout w:type="fixed"/>
        <w:tblCellMar>
          <w:top w:w="28" w:type="dxa"/>
          <w:left w:w="28" w:type="dxa"/>
          <w:bottom w:w="28" w:type="dxa"/>
          <w:right w:w="28" w:type="dxa"/>
        </w:tblCellMar>
      </w:tblPr>
      <w:tblGrid>
        <w:gridCol w:w="4261"/>
        <w:gridCol w:w="146"/>
        <w:gridCol w:w="211"/>
        <w:gridCol w:w="841"/>
        <w:gridCol w:w="166"/>
        <w:gridCol w:w="146"/>
        <w:gridCol w:w="211"/>
        <w:gridCol w:w="841"/>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of $200.5 million during the six months ended June 30, 2026 primarily consists of a net loss of $202.9 million, accretion of investment discounts of $1.1 million and net changes in operating assets and liabilities of $33.0 million, partially offset by stock-based compensation of $31.6 million, depreciation expense of $4.3 million and a change in fair value of our investment in Kyverna Therapeutics, Inc. (“Kyverna”) of $0.6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of $248.6 million during the six months ended June 30, 2025 primarily consists of a net loss of $215.6 million, further reduced by accretion of investment discounts of $3.9 million and net changes in operating assets and liabilities of $78.7 million. Included in the net cash used in operating activities is approximately $65.0 million of non-recurring cash payments associated with our previously announced portfolio prioritization, workforce reduction, and real estate consolidation. These decreases are offset in part by stock-based compensation of $43.9 million, $0.8 million in net adjustments to the fair value of our investment in Kyverna and depreciation expense of $5.0 million.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Net cash (used in) provided by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six months ended June 30, 2026, our investing activities used cash of $75.3 million. The decrease in the six months ended June 30, 2026 is primarily due to $73.5 million in purchases of marketable securities (net of maturities) and $1.9 million for purchases of property and equipment.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six months ended June 30, 2025 our investing activities provided cash of $201.2 million. The increase is primarily due to $202.2 million of marketable securities maturing (net of purchases), partially offset by $1.0 million in cash for the purchase of property and equipment.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Net cash provided by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financing activities of $229.7 million during the six months ended June 30, 2026 is primarily related to $194.6 million in net proceeds from a follow-on public offering and $33.6 million in net proceeds from at-the-market offerings.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provided by financing activities of $14.7 million during the six months ended June 30, 2025 includes $13.4 million in net proceeds from at-the-market offerings and $1.2 million in cash received from the issuance of shares through our employee stock purchase plan.</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critical accounting policies require the most significant judgments and estimates in the preparation of our condensed consolidated financial statements. Management has determined that our most critical accounting policies are those relating to revenue recognition, accrued research and development expenses and stock-based compensation. There have been no changes to our critical accounting policies from those which were discussed in our Annual Report for the year ended December 31, 2025.</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Please read Note 2, “Summary of Significant Accounting Policies,” to our condensed consolidated financial statements included in Part I, Item 1, “Notes to Condensed Consolidated Financial Statements,” of this Quarterly Report on Form 10-Q for a description of recent accounting pronouncements applicable to our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both"/>
        <w:rPr>
          <w:rFonts w:ascii="Times New Roman" w:hAnsi="Times New Roman"/>
          <w:sz w:val="20"/>
        </w:rPr>
      </w:pPr>
      <w:r>
        <w:rPr>
          <w:rFonts w:ascii="Times New Roman" w:hAnsi="Times New Roman"/>
          <w:color w:val="000000"/>
          <w:sz w:val="20"/>
        </w:rPr>
        <w:t>There were no material changes to our contractual obligations during the six months ended June 30, 2026 other than those described within Note 9, “Leases” in the notes to condensed consolidated financial statements</w:t>
      </w:r>
      <w:r>
        <w:rPr>
          <w:rFonts w:ascii="Times New Roman" w:hAnsi="Times New Roman"/>
          <w:i/>
          <w:color w:val="000000"/>
          <w:sz w:val="20"/>
        </w:rPr>
        <w:t>.</w:t>
      </w:r>
      <w:r>
        <w:rPr>
          <w:rFonts w:ascii="Times New Roman" w:hAnsi="Times New Roman"/>
          <w:color w:val="000000"/>
          <w:sz w:val="20"/>
        </w:rPr>
        <w:t xml:space="preserve"> For a complete discussion of our contractual obligations, please refer to our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in our Annual Report for the year ended December 31, 2025.</w:t>
      </w:r>
    </w:p>
    <w:p>
      <w:pPr>
        <w:pStyle w:val="TextBody"/>
        <w:bidi w:val="0"/>
        <w:spacing w:before="240" w:after="283"/>
        <w:jc w:val="both"/>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risk inherent in our financial instruments and in our financial position represents the potential loss arising from adverse changes in interest rates. As of June 30, 2026, we had cash equivalents, restricted cash equivalents and marketable securities of $600.9 million consisting of interest-bearing money market accounts, corporate and financial institution debt securities, U.S. Treasury and other government-backed securities. Our primary exposure to market risk is interest rate sensitivity, which is affected by changes in the general level of U.S. interest rates, particularly because our investments are primarily in marketable securities. Due to the short-term duration of our investment portfolios and the low risk profile of our investments, we do not believe an immediate change of 100 basis points, or one percentage point, would have a material effect on the fair market value of our investment portfolio. Declines in interest rates, however, would reduce future investment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any foreign currency or derivative financial instruments. Inflation generally affects us by increasing our cost of labor and program costs. We do not believe that inflation had a material effect on our results of operations during the six months ended June 30, 2026.</w:t>
      </w:r>
    </w:p>
    <w:p>
      <w:pPr>
        <w:pStyle w:val="TextBody"/>
        <w:bidi w:val="0"/>
        <w:spacing w:before="24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sz w:val="20"/>
        </w:rPr>
      </w:pPr>
      <w:r>
        <w:rPr>
          <w:rFonts w:ascii="Times New Roman" w:hAnsi="Times New Roman"/>
          <w:b/>
          <w:color w:val="000000"/>
          <w:sz w:val="20"/>
        </w:rPr>
        <w:t>Evaluation of</w:t>
      </w:r>
      <w:r>
        <w:rPr>
          <w:rFonts w:ascii="Times New Roman" w:hAnsi="Times New Roman"/>
          <w:color w:val="000000"/>
          <w:sz w:val="20"/>
        </w:rPr>
        <w:t xml:space="preserve"> </w:t>
      </w:r>
      <w:r>
        <w:rPr>
          <w:rFonts w:ascii="Times New Roman" w:hAnsi="Times New Roman"/>
          <w:b/>
          <w:color w:val="000000"/>
          <w:sz w:val="20"/>
        </w:rPr>
        <w:t>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established disclosure controls and procedures designed to ensure that information required to be disclosed in the reports that we file or submit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management, under the supervision and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June 30, 2026.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change in our internal control over financial reporting (as defined in Rules 13a-15(f) and 15d-15(f) under the Exchange Act) occurred during the three months ended June 30, 2026 that has materially affected, or is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12" w:name="item_ii_other_information"/>
      <w:bookmarkEnd w:id="12"/>
      <w:r>
        <w:rPr>
          <w:rFonts w:ascii="Times New Roman" w:hAnsi="Times New Roman"/>
          <w:b/>
          <w:color w:val="000000"/>
          <w:sz w:val="20"/>
        </w:rPr>
        <w:t>PART II - OTHER INFORMATION</w:t>
      </w:r>
    </w:p>
    <w:p>
      <w:pPr>
        <w:pStyle w:val="TextBody"/>
        <w:bidi w:val="0"/>
        <w:spacing w:before="120" w:after="283"/>
        <w:jc w:val="both"/>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we are from time to time involved in lawsuits, claims, investigations, proceedings, and threats of litigation related to intellectual property, commercial arrangements and other matters. The outcome of any such legal proceedings, regardless of the merits, is inherently uncertain. In addition, litigation and related matters are costly and may divert the attention of our management and other resources that would otherwise be engaged in other activities. If we were unable to prevail in any such legal proceedings, our business, results of operations, liquidity and financial condition could be adversely affected.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BlueAllele Corp. v. Intellia Therapeutics, Inc.</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July 8, 2024, BlueAllele Corp. (“BlueAllele”) filed a complaint alleging infringement by Intellia of various patents in the U.S. District Court for the District of Delaware. Specifically, BlueAllele alleges that our experimentation, basic research, identification, optimization, manufacturing and/or use of bi-directional insertion template technology infringes the asserted patents and seeks, </w:t>
      </w:r>
      <w:r>
        <w:rPr>
          <w:rFonts w:ascii="Times New Roman" w:hAnsi="Times New Roman"/>
          <w:i/>
          <w:color w:val="000000"/>
          <w:sz w:val="20"/>
        </w:rPr>
        <w:t>inter alia</w:t>
      </w:r>
      <w:r>
        <w:rPr>
          <w:rFonts w:ascii="Times New Roman" w:hAnsi="Times New Roman"/>
          <w:color w:val="000000"/>
          <w:sz w:val="20"/>
        </w:rPr>
        <w:t>, unspecified compensatory damages and an injunction against the alleged infringing activities. On September 12, 2024, we filed a motion to dismiss the complaint, and on December 9, 2024, the court denied the motion to dismiss and discovery began. On January 6, 2025, we filed our answer and counterclaims, and BlueAllele filed a motion to dismiss our counterclaims on January 27, 2025. On February 21, 2025, the court substantially denied BlueAllele’s motion to dismiss, and granted the motion with respect to one counterclaim.</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Gonzalez v. Intellia Therapeutics, Inc.</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February 11, 2025, a purported stockholder of the Company filed a lawsuit, captioned </w:t>
      </w:r>
      <w:r>
        <w:rPr>
          <w:rFonts w:ascii="Times New Roman" w:hAnsi="Times New Roman"/>
          <w:i/>
          <w:color w:val="000000"/>
          <w:sz w:val="20"/>
        </w:rPr>
        <w:t>Gonzalez v. Intellia Therapeutics, Inc.</w:t>
      </w:r>
      <w:r>
        <w:rPr>
          <w:rFonts w:ascii="Times New Roman" w:hAnsi="Times New Roman"/>
          <w:color w:val="000000"/>
          <w:sz w:val="20"/>
        </w:rPr>
        <w:t>, No. 1:25-cv-01353 (D. Mass.), in the U.S. District Court for the District of Massachusetts against the Company and certain of our officers (the “defendants”) asserting claims under Sections 10(b) and 20(a) and Rule 10b-5 of the Securities Exchange Act of 1934 (the “Exchange Act”) on behalf of a putative class of stockholders. On May 26, 2025, the court entered an order appointing co-lead plaintiffs and, on July 23, 2025, co-lead plaintiffs filed an amended complaint. The amended complaint alleged the defendants made certain false and/or misleading statements between January 4, 2024 and January 8, 2025, relating to the Company’s NTLA-3001 program and the demand for viral-based editing. On September 8, 2025, the defendants filed a motion to dismiss the amended complaint. On January 14, 2026, the court held a hearing on the motion to dismiss, and the court fully granted the defendants’ motion to dismiss on June 18, 2026, which decision the plaintiffs did not appeal.</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Aiello v. Bhanji et al.</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15, 2025, a purported stockholder of the Company filed a stockholder derivative lawsuit, captioned </w:t>
      </w:r>
      <w:r>
        <w:rPr>
          <w:rFonts w:ascii="Times New Roman" w:hAnsi="Times New Roman"/>
          <w:i/>
          <w:color w:val="000000"/>
          <w:sz w:val="20"/>
        </w:rPr>
        <w:t>Aiello v. Bhanji et al.</w:t>
      </w:r>
      <w:r>
        <w:rPr>
          <w:rFonts w:ascii="Times New Roman" w:hAnsi="Times New Roman"/>
          <w:color w:val="000000"/>
          <w:sz w:val="20"/>
        </w:rPr>
        <w:t>(C.A. No. 2025-0543-BWD), in the Court of Chancery of the State of Delaware against certain of the Company’s current and former directors (the “Individual Defendants”) and the Company as a nominal defendant. The complaint alleges claims for breach of fiduciary duty, unjust enrichment, and waste of corporate assets against the Individual Defendants based on, among other things, allegations of allegedly excessive compensation to the Company’s non-employee directors. The complaint seeks unspecified damages and restitution of compensation and other benefits from the Individual Defendants, corporate governance reforms from the Company, reasonable attorneys’ fees and other costs. On July 11, 2025, the Company and Individual Defendants filed answers to the complaint, and discovery commenced thereafter.</w:t>
      </w:r>
    </w:p>
    <w:p>
      <w:pPr>
        <w:pStyle w:val="TextBody"/>
        <w:bidi w:val="0"/>
        <w:spacing w:before="240" w:after="283"/>
        <w:jc w:val="both"/>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Investing in our common stock involves a high degree of risk. In evaluating us and our business, careful consideration should be given to the following risk factors, in addition to the other information set forth in this Quarterly Report on Form 10-Q, our Annual Report on Form 10-K for the year ended December 31, 2025, and in other documents that we file with the Securities and Exchange Commission (“SEC”). If any of the following risks and uncertainties actually occurs, our business, prospects, financial condition and results of operations could be materially and adversely affected. The risks described below are not intended to be exhaustive and are not the only risks facing us. New risk factors can emerge from time to time, and we cannot predict the impact that any factor or combination of factors may have on our business, prospects,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risk factors denoted with a “*”, if any, are newly added or have been materially updated from our Annual Report on Form 10-K for the year ended December 31, 2025.</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Summary of the Material Risks Associated with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may be adversely affected if we are unable to successfully file and obtain approval of our biologics license application (“BLA”) for lonvoguran ziclumeran (“lonvo-z”) for the treatment of patients with hereditary angioedema (“HAE”) or, following such approval, we are unable to successfully launch lonvo-z for the treatment of patients of HAE.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Following the lifting of the clinical hold that the United States Food and Drug Administration (“FDA”) placed on our investigational new drug (“IND”) applications for the MAGNITUDE and MAGNITUDE-2 Phase 3 clinical trials of nexiguran ziclumeran (“nex-z”) for the treatment of patients with transthyretin (“ATTR”) amyloidosis with cardiomyopathy (“ATTR-CM”) and hereditary ATTR amyloidosis with polyneuropathy (“ATTRv-PN”), respectively, we are resuming, and intend to successfully complete, the MAGNITUDE and MAGNITUDE-2 Phase 3 clinical trials. Our business may be adversely affected if the clinical trials are not resumed in a timely manner, or if other regulatory or patient safety concerns lead to additional delays.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CRISPR genome editing technology has only recently been clinically validated for human therapeutic use and may not be approved by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approaches we are taking to discover and develop novel therapeutics using CRISPR, gene editing and our other core technologies are unproven and may never lead to marketable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develop viable product candidates, achieve regulatory approval for any such product candidate or market and sell any resulting product, we may never achieve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development involves a lengthy and expensive process, with an uncertain outcome. We may incur additional costs or experience delays in completing, or ultimately be unable to complete, the development and commercialization of any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including data from our preclinical and clinical studies, are not necessarily predictive of our other ongoing and future preclinical and clinical studies, and they do not guarantee or indicate the likelihood of approval of any potential product candidate by the FDA or any other regulatory agency. If we cannot replicate the positive results from any of our preclinical or clinical activities and studies, we may be unable to successfully develop, obtain regulatory approval for and commercialize any potential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public opinion and increased regulatory scrutiny of CRISPR use, genome editing or gene therapy may damage public perception of the safety of our product candidates and adversely affect our ability to conduct our business or obtain regulatory approvals for such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obtain regulatory approval of any product candidates, such candidates may not gain market acceptance among physicians, patients, hospitals, third party payors and others in the medical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could be unsuccessful in obtaining or maintaining adequate patent protection for one or more of our products or product candidates or asserting and defending our intellectual property rights that protect our products and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licensed intellectual property from third parties for use in our programs, and termination or modification of any of these licenses could result in the loss of those intellectual property rights, which could harm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generated any revenue from product sales and our ability to generate revenue from product sales and become profitable depends significantly on our success in a number of areas.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net losses in each period since our inception, anticipate that we will continue to incur net losses in the future and may never achieve profitability.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genome editing products and </w:t>
      </w:r>
      <w:r>
        <w:rPr>
          <w:rFonts w:ascii="Times New Roman" w:hAnsi="Times New Roman"/>
          <w:i/>
          <w:color w:val="000000"/>
          <w:sz w:val="20"/>
        </w:rPr>
        <w:t>ex vivo</w:t>
      </w:r>
      <w:r>
        <w:rPr>
          <w:color w:val="000000"/>
        </w:rPr>
        <w:t xml:space="preserve"> </w:t>
      </w:r>
      <w:r>
        <w:rPr>
          <w:rFonts w:ascii="Times New Roman" w:hAnsi="Times New Roman"/>
          <w:color w:val="000000"/>
          <w:sz w:val="20"/>
        </w:rPr>
        <w:t xml:space="preserve">engineered cell therapies based on CRISPR genome editing technology are novel, complex and difficult to manufacture.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could experience manufacturing problems that result in delays in the development, approval or commercialization of our product candidates or otherwise harm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technological advancements and any potential for revenue may be derived in part from our collaborations, including, for example, with Regeneron Pharmaceuticals, Inc. (“Regeneron”), and if the collaboration or co-development agreements related to a material collaboration were to be terminated or materially altered in an adverse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manner, our business, financial condition, results of operations and prospects would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internal computer systems, or those of our collaborators or other contractors or consultants, may fail or suffer security breaches or compromises, which could result in a material disruption of our operations and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significant competition in an environment of rapid technological change. The possibility that our competitors may achieve regulatory approval before we do or develop therapies that are more advanced or effective than ours may harm our business and financial condition or our ability to successfully market or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price of our common stock historically has been volatile, which may affect the price at which you could sell any shares of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Risks Related to Preclinical and Clinical Development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*CRISPR genome editing technology has only recently been clinically validated for human therapeutic use.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focused on developing novel therapeutics utilizing CRISPR gene editing technology and our other core technologies, including </w:t>
      </w:r>
      <w:r>
        <w:rPr>
          <w:rFonts w:ascii="Times New Roman" w:hAnsi="Times New Roman"/>
          <w:i/>
          <w:color w:val="000000"/>
          <w:sz w:val="20"/>
        </w:rPr>
        <w:t xml:space="preserve">in vivo </w:t>
      </w:r>
      <w:r>
        <w:rPr>
          <w:rFonts w:ascii="Times New Roman" w:hAnsi="Times New Roman"/>
          <w:color w:val="000000"/>
          <w:sz w:val="20"/>
        </w:rPr>
        <w:t xml:space="preserve">gene editing therapies and </w:t>
      </w:r>
      <w:r>
        <w:rPr>
          <w:rFonts w:ascii="Times New Roman" w:hAnsi="Times New Roman"/>
          <w:i/>
          <w:color w:val="000000"/>
          <w:sz w:val="20"/>
        </w:rPr>
        <w:t>ex vivo</w:t>
      </w:r>
      <w:r>
        <w:rPr>
          <w:rFonts w:ascii="Times New Roman" w:hAnsi="Times New Roman"/>
          <w:color w:val="000000"/>
          <w:sz w:val="20"/>
        </w:rPr>
        <w:t xml:space="preserve"> engineered cell therapies. Our product candidates, which use such technologies, are the first </w:t>
      </w:r>
      <w:r>
        <w:rPr>
          <w:rFonts w:ascii="Times New Roman" w:hAnsi="Times New Roman"/>
          <w:i/>
          <w:color w:val="000000"/>
          <w:sz w:val="20"/>
        </w:rPr>
        <w:t>in vivo</w:t>
      </w:r>
      <w:r>
        <w:rPr>
          <w:rFonts w:ascii="Times New Roman" w:hAnsi="Times New Roman"/>
          <w:color w:val="000000"/>
          <w:sz w:val="20"/>
        </w:rPr>
        <w:t xml:space="preserve"> gene editing product candidates in pivotal trials. Although there have been significant advances in recent years in the fields of gene therapy and genome editing, </w:t>
      </w:r>
      <w:r>
        <w:rPr>
          <w:rFonts w:ascii="Times New Roman" w:hAnsi="Times New Roman"/>
          <w:i/>
          <w:color w:val="000000"/>
          <w:sz w:val="20"/>
        </w:rPr>
        <w:t>in vivo</w:t>
      </w:r>
      <w:r>
        <w:rPr>
          <w:rFonts w:ascii="Times New Roman" w:hAnsi="Times New Roman"/>
          <w:color w:val="000000"/>
          <w:sz w:val="20"/>
        </w:rPr>
        <w:t xml:space="preserve"> CRISPR-based genome editing technologies are relatively new and their therapeutic utility is largely unproven. Our approach to developing therapies centers on using CRISPR technology, as well as our other core technologies, to alter, introduce or remove genetic information </w:t>
      </w:r>
      <w:r>
        <w:rPr>
          <w:rFonts w:ascii="Times New Roman" w:hAnsi="Times New Roman"/>
          <w:i/>
          <w:color w:val="000000"/>
          <w:sz w:val="20"/>
        </w:rPr>
        <w:t xml:space="preserve">in vivo </w:t>
      </w:r>
      <w:r>
        <w:rPr>
          <w:rFonts w:ascii="Times New Roman" w:hAnsi="Times New Roman"/>
          <w:color w:val="000000"/>
          <w:sz w:val="20"/>
        </w:rPr>
        <w:t xml:space="preserve">to treat various disorders, or to engineer human cells </w:t>
      </w:r>
      <w:r>
        <w:rPr>
          <w:rFonts w:ascii="Times New Roman" w:hAnsi="Times New Roman"/>
          <w:i/>
          <w:color w:val="000000"/>
          <w:sz w:val="20"/>
        </w:rPr>
        <w:t>ex vivo</w:t>
      </w:r>
      <w:r>
        <w:rPr>
          <w:rFonts w:ascii="Times New Roman" w:hAnsi="Times New Roman"/>
          <w:color w:val="000000"/>
          <w:sz w:val="20"/>
        </w:rPr>
        <w:t xml:space="preserve"> to create therapeutic cells that can be introduced into the human body to address the underlying disease. </w:t>
      </w:r>
    </w:p>
    <w:p>
      <w:pPr>
        <w:pStyle w:val="TextBody"/>
        <w:bidi w:val="0"/>
        <w:spacing w:before="240" w:after="283"/>
        <w:jc w:val="both"/>
        <w:rPr>
          <w:rFonts w:ascii="Times New Roman" w:hAnsi="Times New Roman"/>
          <w:sz w:val="20"/>
        </w:rPr>
      </w:pPr>
      <w:r>
        <w:rPr>
          <w:rFonts w:ascii="Times New Roman" w:hAnsi="Times New Roman"/>
          <w:b/>
          <w:i/>
          <w:color w:val="000000"/>
          <w:sz w:val="20"/>
        </w:rPr>
        <w:t>*The approaches we are taking to discover and develop novel therapeutics using CRISPR gene editing and our other core technologies are unproven and may never lead to marketable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Successful development of products by us will require solving a number of issues, including developing or obtaining technologies to safely deliver a therapeutic agent into target cells within the human body or engineer human cells while outside of the body such that the modified cells can have a therapeutic effect when delivered to the patient, optimizing the efficacy and specificity of such products, and demonstrating the therapeutic selectivity, efficacy, potency, purity and safety of such products. There can be no assurance we will be successful in solving any or all of these issues. With regards to CRISPR-based therapies specifically, we are in clinical-stage development for nexiguran ziclumeran (“nex-z,” previously referred to as NTLA-2001) and for lonvoguran ziclumeran, (“lonvo-z,” previously referred to as NTLA-2002) and advancing towards clinical testing for our other </w:t>
      </w:r>
      <w:r>
        <w:rPr>
          <w:rFonts w:ascii="Times New Roman" w:hAnsi="Times New Roman"/>
          <w:i/>
          <w:color w:val="000000"/>
          <w:sz w:val="20"/>
        </w:rPr>
        <w:t>in vivo</w:t>
      </w:r>
      <w:r>
        <w:rPr>
          <w:rFonts w:ascii="Times New Roman" w:hAnsi="Times New Roman"/>
          <w:color w:val="000000"/>
          <w:sz w:val="20"/>
        </w:rPr>
        <w:t xml:space="preserve"> and </w:t>
      </w:r>
      <w:r>
        <w:rPr>
          <w:rFonts w:ascii="Times New Roman" w:hAnsi="Times New Roman"/>
          <w:i/>
          <w:color w:val="000000"/>
          <w:sz w:val="20"/>
        </w:rPr>
        <w:t xml:space="preserve">ex vivo </w:t>
      </w:r>
      <w:r>
        <w:rPr>
          <w:rFonts w:ascii="Times New Roman" w:hAnsi="Times New Roman"/>
          <w:color w:val="000000"/>
          <w:sz w:val="20"/>
        </w:rPr>
        <w:t xml:space="preserve">product candidates. Although one CRISPR-edited </w:t>
      </w:r>
      <w:r>
        <w:rPr>
          <w:rFonts w:ascii="Times New Roman" w:hAnsi="Times New Roman"/>
          <w:i/>
          <w:color w:val="000000"/>
          <w:sz w:val="20"/>
        </w:rPr>
        <w:t>ex vivo</w:t>
      </w:r>
      <w:r>
        <w:rPr>
          <w:rFonts w:ascii="Times New Roman" w:hAnsi="Times New Roman"/>
          <w:color w:val="000000"/>
          <w:sz w:val="20"/>
        </w:rPr>
        <w:t xml:space="preserve"> therapy has been approved in the United States (“U.S.”) and European Union (“EU”), no genome editing </w:t>
      </w:r>
      <w:r>
        <w:rPr>
          <w:rFonts w:ascii="Times New Roman" w:hAnsi="Times New Roman"/>
          <w:i/>
          <w:color w:val="000000"/>
          <w:sz w:val="20"/>
        </w:rPr>
        <w:t xml:space="preserve">in vivo </w:t>
      </w:r>
      <w:r>
        <w:rPr>
          <w:rFonts w:ascii="Times New Roman" w:hAnsi="Times New Roman"/>
          <w:color w:val="000000"/>
          <w:sz w:val="20"/>
        </w:rPr>
        <w:t>therapy has been approved in the U.S., EU countries or other key jurisdictions, and the potential to successfully obtain approval for any of our CRISPR-based product candidates, including lonvo-z and nex-z, remains uncertain.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develop viable product candidates, achieve regulatory approval for any such product candidate or market and sell any resulting product, we may never achieve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success also is highly dependent on the successful development of CRISPR-based genome editing technologies, cellular delivery methods and therapeutic applications for the indications on which we have focused our ongoing research and development efforts. We may decide to alter or abandon these programs as new data become available and we gain experience in developing CRISPR-based therapeutics. We cannot be sure that our CRISPR efforts and technologies will yield satisfactory products that are safe and effective, sufficiently pure or potent, manufacturable, scalable or profitable in our selected indications or any other indication we pursue. We cannot guarantee that progress or success in developing any particular CRISPR-based therapeutic product will translate to other CRISPR-based products.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Public perception and related media coverage of potential therapy-related efficacy or safety issues, including adoption of new therapeutics or novel approaches to treatment, as well as ethical concerns related specifically to genome editing and CRISPR-based therapies, may adversely influence the willingness of subjects to participate in clinical trials, or if any therapeutic is approved, of physicians and patients to accept these novel and personalized treatments. Physicians, healthcare providers and third party payors often are slow to adopt new products, technologies and treatment practices, particularly those that may also require additional upfront costs and training. Physicians may not be willing to undergo training to adopt these novel therapies, may decide the particular therapy is too complex or potentially risky to adopt without appropriate training, and may choose not to administer the therapy. Further, due to health conditions, genetic profile or other reasons, certain patients may not be candidates for the therapies. In addition, responses by federal and state agencies, congressional committees and foreign governments to negative public perception, ethical concerns or financial considerations may result in new legislation, regulations, or medical standards that could limit our ability to develop or commercialize any product candidates, obtain or maintain regulatory approval or otherwise achieve profitability.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 Based on these and other factors, healthcare providers and payors may decide that the benefits of these new therapies do not or will not outweigh their costs, which would affect our ability to market and sell our product candidates and achieve profitability.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Clinical development involves a lengthy and expensive process, with an uncertain outcome.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of our programs are still in the discovery, preclinical or clinical stage. Our current and future product candidates will require preclinical and clinical activities and studies, regulatory review and approval in each jurisdiction in which we intend to market the products, substantial investment, establishing manufacturing capabilities, access to sufficient commercial manufacturing capacity and significant marketing efforts before we can generate any revenue from product sales. Before obtaining marketing approval from regulatory authorities for the sale of a product candidate, we must conduct extensive clinical trials to demonstrate the safety, purity, potency and efficacy of the product in humans. It is impossible to predict when or if any of our programs will prove effective and safe in humans or will receive regulatory approval. Preclinical and clinical testing is expensive, difficult to design and implement, can take many years to complete and is uncertain as to outcome. We may be unable to establish clinical endpoints that regulatory authorities consider clinically meaningful, and a clinical trial can fail at any stage. The outcome of preclinical testing and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products.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incur additional costs or experience delays in completing, or ultimately be unable to complete, the development and commercialization of any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completion of clinical trials is a prerequisite to submitting a Biologics License Application (“BLA”) to the United States Food and Drug Administration (“FDA”), and similar applications to comparable foreign regulatory authorities, for each product candidate and, consequently, the ultimate approval and commercial marketing of any product candidates. We do not know whether any of our clinical trials will begin or be completed on schedule, if at all. In addition, the regulatory requirements for later phase clinical trials, such as pivotal trials, are generally more stringent than earlier phase clinical trials, such as Phase 1 trials. We may not meet the requirements of regulatory authorities, such as the FDA, for initiating later phase clinical trials for our product candidates, which could delay the development of our product candidates, including the submission of a BLA or comparable marketing application.</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these are new therapeutic approaches, discovering, developing, manufacturing and commercializing our product candidates may subject us to a number of challenges or delays in completing our preclinical studies and initiating or completing clinical trials. We also may experience numerous unforeseen events during, or as a result of, any current or future clinical trials that we conduct, which could delay or prevent our ability to receive marketing approval or commercialize our product candidates, including: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challenges in obtaining regulatory authorization or approval to conduct clinical trials in the U.S. from the FDA through an investigational new drug (“IND”) application or from other regulatory agencies outside the U.S., such as the United Kingdom (“U.K.”) Medicines and Healthcare products Regulatory Agency (“MHRA”) or the European Medicines Agency (“EMA”), through corresponding applications, such as a clinical trial application, a clinical trial notification or a clinical trial exemption, because these agencies have very limited or no experience with the clinical development of CRISPR-based therapeutics, particularly </w:t>
      </w:r>
      <w:r>
        <w:rPr>
          <w:rFonts w:ascii="Times New Roman" w:hAnsi="Times New Roman"/>
          <w:i/>
          <w:color w:val="000000"/>
          <w:sz w:val="20"/>
        </w:rPr>
        <w:t xml:space="preserve">in vivo </w:t>
      </w:r>
      <w:r>
        <w:rPr>
          <w:rFonts w:ascii="Times New Roman" w:hAnsi="Times New Roman"/>
          <w:color w:val="000000"/>
          <w:sz w:val="20"/>
        </w:rPr>
        <w:t>therapeutics, which may require additional significant testing or data compared to more traditional therapies or otherwise delay the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successfully developing processes for the safe administration of these product candidates, including long-term follow-up for patients who receive treatment with any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regulators, institutional review boards (“IRBs”) or ethics committees may not authorize us or our investigators to commence a clinical trial or conduct a clinical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inability to reach, or delays in reaching, agreement on acceptable terms with trial sites and contract research organizations (“CROs”);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trials of any product candidates may fail to show safety or efficacy, or could produce negative or inconclusive results, which could result in having to conduct additional preclinical studies or clinical trials or terminating the product development programs;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we may not be able to initiate or complete clinical trials of a product candidate if the required number of subjects is larger than we anticipated, the number of subjects willing to enroll is smaller than required, the pace of enrollment is slower than anticipated, or subjects drop out or fail to return for post-treatment follow-up at a higher rate than we anticipated;</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need to educate medical personnel, including clinical investigators, and patients regarding the potential benefits and side effect profile of each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agencies may require us to amend our IND applications or equivalent regulatory filings, modify the design of our clinical trials or perform more extensive or lengthier preclinical or clinical testing compared to existing therapeutic modalities, any of which may delay the initiation or progression of any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animal models may not exist, or available animal models may be inadequate, for some of the human diseases we choose to pursue in our programs, or the preclinical studies we perform as part of our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third party contractors, clinical trial sites or investigators may fail to comply with regulatory requirements or meet their performance obligations to us in a timely manner, or at all, or may deviate from the clinical trial protocol or drop out of the trial, which may require that we add new clinical trial sites or investigators;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elect to, or regulators, IRBs or ethics committees may require that we or our investigators, suspend or terminate clinical research or trials for various reasons, including noncompliance with regulatory requirements or a finding that the participants are being exposed to unacceptable health risks;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preclinical studies and clinical trials of any product candidates may be greater than we anticipate;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preclinical studies and clinical trials of our product candidates may be insufficient or inadequate, or not available in a reasonable timeframe, and any transfer of manufacturing activities may require unforeseen manufacturing or formulation changes;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face challenges in sourcing preclinical, clinical and, if approved, commercial supplies for the materials used to manufacture and process our product candidates, which may include importing or exporting materials between different jurisdictions;</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candidates may have undesirable side effects or other unexpected characteristics, such as effects or characteristics resulting from their biodistribution or mechanism of action, causing us or our investigators, regulators, IRBs or ethics committees to suspend or terminate the trials, or reports may arise from preclinical or clinical testing of other gene therapies or genome editing-based therapies that raise safety or efficacy concerns about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other regulatory authorities may require us to submit additional data, such as long-term toxicology studies, or impose other requirements, including submitting preclinical data earlier in clinical development compared to existing therapeutic modalities or requiring amendments to our regulatory filings, before permitting us to initiate, continue or rely on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face challenges in establishing sales and marketing capabilities in anticipation of, and after obtaining, any regulatory approval to gain market authorization;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other regulatory authorities may revise the requirements for authorizing our clinical trials or approving our product candidates, or their interpretation of the authorization or approval requirements may not be what we anticipate or require us to adopt Risk Evaluation and Mitigation Strategy (“REMS”) as a condition of approval; and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we may not ultimately obtain regulatory approval for a BLA, or corresponding applications outside the U.S., such as a marketing authorization application in the U.K. and other similar regulatory authorities, which may have very limited or no experience with the clinical development of CRISPR-based therapeutics, particularly </w:t>
      </w:r>
      <w:r>
        <w:rPr>
          <w:rFonts w:ascii="Times New Roman" w:hAnsi="Times New Roman"/>
          <w:i/>
          <w:color w:val="000000"/>
          <w:sz w:val="20"/>
        </w:rPr>
        <w:t xml:space="preserve">in vivo </w:t>
      </w:r>
      <w:r>
        <w:rPr>
          <w:rFonts w:ascii="Times New Roman" w:hAnsi="Times New Roman"/>
          <w:color w:val="000000"/>
          <w:sz w:val="20"/>
        </w:rPr>
        <w:t xml:space="preserve">therapeutics.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could also encounter delays if a clinical trial is suspended or terminated by us, the IRBs of the institutions in which such trials are being conducted, the relevant ethics committee or the FDA or other relevant regulatory authorities, or if the Data Monitoring Committee (“DMC”) for such trial recommends such suspension or termination. Such authorities may impose or recommend such a suspension or termination due to a number of factors, including failure to conduct the clinical trial in accordance with regulatory requirements or our study protocols, inspection of the clinical trial operations or trial site by the FDA or other regulatory authorities, resulting in the imposition of a clinical hold, manufacturing or quality control issues, unforeseen safety issues or adverse side effects, failure to demonstrate a benefit from using a product or treatment, failure to establish or achieve clinically meaningful trial endpoints, or changes in governmental regulations or administrative actions. For example, on October 29, 2025, the FDA placed a clinical hold on the IND applications for the MAGNITUDE and MAGNITUDE-2 Phase 3 clinical trials for patients with transthyretin (“ATTR”) amyloidosis with cardiomyopathy (“ATTR-CM”) and hereditary ATTR amyloidosis with polyneuropathy (“ATTRv-PN”), respectively. This action followed a report of Grade 4 liver transaminase elevations and increased total bilirubin in a patient who was dosed with nex-z in the MAGNITUDE trial. The patient passed away, and it was reported by the principal investigator that the patient died due to septic shock secondary to a perforated duodenal ulcer. The patient’s complicated clinical course also included acute liver injury and its treatment with corticosteroids. An autopsy report supported the clinical diagnoses. In the first quarter of 2026, the FDA removed the clinical holds on the IND applications for the MAGNITUDE and MAGNITUDE-2 Phase 3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of the factors that cause, or lead to, a delay in the commencement or completion of clinical trials may also lead to a delay in submitting a BLA or comparable marketing application or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Additionally, because our </w:t>
      </w:r>
      <w:r>
        <w:rPr>
          <w:rFonts w:ascii="Times New Roman" w:hAnsi="Times New Roman"/>
          <w:i/>
          <w:color w:val="000000"/>
          <w:sz w:val="20"/>
        </w:rPr>
        <w:t xml:space="preserve">in vivo </w:t>
      </w:r>
      <w:r>
        <w:rPr>
          <w:rFonts w:ascii="Times New Roman" w:hAnsi="Times New Roman"/>
          <w:color w:val="000000"/>
          <w:sz w:val="20"/>
        </w:rPr>
        <w:t xml:space="preserve">technology potentially involves genome editing across multiple cell and tissue types, we are subject to many of the challenges and risks that other genome editing therapeutics and gene therapies face,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guidance for gene and genome editing therapy products has changed and may continue to change in the future, including, e.g., the finalized guidance document titled “Human Gene Therapy Products Incorporating Human Genome Editing” that the FDA issued in January 2024 and the draft guidance document titled “Frequently Asked Questions — Developing Potential Cellular and Gene Therapy Products” published in November 2024;</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to date, only a limited number of products that involve </w:t>
      </w:r>
      <w:r>
        <w:rPr>
          <w:rFonts w:ascii="Times New Roman" w:hAnsi="Times New Roman"/>
          <w:i/>
          <w:color w:val="000000"/>
          <w:sz w:val="20"/>
        </w:rPr>
        <w:t xml:space="preserve">in vivo </w:t>
      </w:r>
      <w:r>
        <w:rPr>
          <w:rFonts w:ascii="Times New Roman" w:hAnsi="Times New Roman"/>
          <w:color w:val="000000"/>
          <w:sz w:val="20"/>
        </w:rPr>
        <w:t>gene transfer have been approved globally;</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improper modulation of a gene sequence, including unintended editing events, insertion of a sequence into certain locations in a patient’s chromosome or other effects related to the biodistribution of our product candidates, could lead to cancer, other aberrantly functioning cells or other diseases, including death;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transient expression of the Cas9 protein or other genome editing components of our product candidates could lead to patients having an immunological reaction towards those modified cells, which could be severe or life-threatening;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corrective expression of a missing protein in patients’ cells could result in the protein being recognized as foreign, and lead to a sustained immunological reaction against the expressed protein or expressing cells, which could be severe or life-threatening;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agencies may require extended follow-up observation periods of patients who receive treatment using genome editing products including, for example, the FDA’s recommended 15-year follow-up observation period for these patients, and we will need to adopt such observation periods for our product candidates if required by the relevant regulatory agency, which could vary by country or region.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Further, because our </w:t>
      </w:r>
      <w:r>
        <w:rPr>
          <w:rFonts w:ascii="Times New Roman" w:hAnsi="Times New Roman"/>
          <w:i/>
          <w:color w:val="000000"/>
          <w:sz w:val="20"/>
        </w:rPr>
        <w:t xml:space="preserve">ex vivo </w:t>
      </w:r>
      <w:r>
        <w:rPr>
          <w:rFonts w:ascii="Times New Roman" w:hAnsi="Times New Roman"/>
          <w:color w:val="000000"/>
          <w:sz w:val="20"/>
        </w:rPr>
        <w:t>product candidates involve editing human cells and then delivering modified cells to patients, we are subject to many of the challenges and risks that engineered cell therapies face. For example, patients treated with engineered cell-based gene therapies may experience an allogeneic response leading to allograft rejection and potential local and systemic toxicities, which could be severe or life-threatening.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To date, most human clinical trials utilizing either </w:t>
      </w:r>
      <w:r>
        <w:rPr>
          <w:rFonts w:ascii="Times New Roman" w:hAnsi="Times New Roman"/>
          <w:i/>
          <w:color w:val="000000"/>
          <w:sz w:val="20"/>
        </w:rPr>
        <w:t>in vivo</w:t>
      </w:r>
      <w:r>
        <w:rPr>
          <w:rFonts w:ascii="Times New Roman" w:hAnsi="Times New Roman"/>
          <w:color w:val="000000"/>
          <w:sz w:val="20"/>
        </w:rPr>
        <w:t xml:space="preserve"> or </w:t>
      </w:r>
      <w:r>
        <w:rPr>
          <w:rFonts w:ascii="Times New Roman" w:hAnsi="Times New Roman"/>
          <w:i/>
          <w:color w:val="000000"/>
          <w:sz w:val="20"/>
        </w:rPr>
        <w:t xml:space="preserve">ex vivo </w:t>
      </w:r>
      <w:r>
        <w:rPr>
          <w:rFonts w:ascii="Times New Roman" w:hAnsi="Times New Roman"/>
          <w:color w:val="000000"/>
          <w:sz w:val="20"/>
        </w:rPr>
        <w:t xml:space="preserve">CRISPR-based therapeutics are still at a clinical stage, with only one </w:t>
      </w:r>
      <w:r>
        <w:rPr>
          <w:rFonts w:ascii="Times New Roman" w:hAnsi="Times New Roman"/>
          <w:i/>
          <w:color w:val="000000"/>
          <w:sz w:val="20"/>
        </w:rPr>
        <w:t xml:space="preserve">ex vivo </w:t>
      </w:r>
      <w:r>
        <w:rPr>
          <w:rFonts w:ascii="Times New Roman" w:hAnsi="Times New Roman"/>
          <w:color w:val="000000"/>
          <w:sz w:val="20"/>
        </w:rPr>
        <w:t xml:space="preserve">CRISPR-based therapeutic product approved in the U.S. and EU. We have ongoing clinical trials in various countries for nex-z for ATTR amyloidosis and for lonvo-z for hereditary angioedema (“HAE”). There is no certainty that the FDA or other similar agencies will continue to apply to all our CRISPR product candidates the same regulatory pathway and requirements it is applying to other </w:t>
      </w:r>
      <w:r>
        <w:rPr>
          <w:rFonts w:ascii="Times New Roman" w:hAnsi="Times New Roman"/>
          <w:i/>
          <w:color w:val="000000"/>
          <w:sz w:val="20"/>
        </w:rPr>
        <w:t xml:space="preserve">in vivo </w:t>
      </w:r>
      <w:r>
        <w:rPr>
          <w:rFonts w:ascii="Times New Roman" w:hAnsi="Times New Roman"/>
          <w:color w:val="000000"/>
          <w:sz w:val="20"/>
        </w:rPr>
        <w:t xml:space="preserve">therapies or </w:t>
      </w:r>
      <w:r>
        <w:rPr>
          <w:rFonts w:ascii="Times New Roman" w:hAnsi="Times New Roman"/>
          <w:i/>
          <w:color w:val="000000"/>
          <w:sz w:val="20"/>
        </w:rPr>
        <w:t xml:space="preserve">ex vivo </w:t>
      </w:r>
      <w:r>
        <w:rPr>
          <w:rFonts w:ascii="Times New Roman" w:hAnsi="Times New Roman"/>
          <w:color w:val="000000"/>
          <w:sz w:val="20"/>
        </w:rPr>
        <w:t>engineered therapeutics.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if any product candidates encounter safety or efficacy problems, development delays, regulatory issues or other problems, our development plans and business could be significantly harmed. For the reasons described above, among others, regulatory bodies, particularly the FDA, have requested, and may request in the future, additional preclinical studies for genome editing products, such as additional studies related to toxicology, biodistribution or reproductive health, and/or preclinical studies earlier in clinical development compared to other therapeutic modalities. Although the FDA cleared the IND applications that we have submitted, it is possible that the FDA may impose requirements that result in a delay of any of our programs (including our submission of a BLA or comparable marketing application, or their regulatory approval). While the FDA removed the clinical holds for the IND for the MAGNITUDE and MAGNITUDE-2 trials in the first quarter of 2026, we cannot predict if we will be able to resume the MAGNITUDE and MAGNITUDE-2 Phase 3 clinical trials in a timely manner or if other regulatory or patient safety concerns will lead to additional delays.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If we are unable to complete the required studies satisfactorily, the FDA or other regulatory bodies could require that we exclude certain patient populations from clinical studies, place our other clinical studies on hold, or require us to cease further clinical studies or deny approval of such product candidates. Further, competitors that are developing </w:t>
      </w:r>
      <w:r>
        <w:rPr>
          <w:rFonts w:ascii="Times New Roman" w:hAnsi="Times New Roman"/>
          <w:i/>
          <w:color w:val="000000"/>
          <w:sz w:val="20"/>
        </w:rPr>
        <w:t>in vivo</w:t>
      </w:r>
      <w:r>
        <w:rPr>
          <w:rFonts w:ascii="Times New Roman" w:hAnsi="Times New Roman"/>
          <w:color w:val="000000"/>
          <w:sz w:val="20"/>
        </w:rPr>
        <w:t xml:space="preserve"> or </w:t>
      </w:r>
      <w:r>
        <w:rPr>
          <w:rFonts w:ascii="Times New Roman" w:hAnsi="Times New Roman"/>
          <w:i/>
          <w:color w:val="000000"/>
          <w:sz w:val="20"/>
        </w:rPr>
        <w:t>ex vivo</w:t>
      </w:r>
      <w:r>
        <w:rPr>
          <w:rFonts w:ascii="Times New Roman" w:hAnsi="Times New Roman"/>
          <w:color w:val="000000"/>
          <w:sz w:val="20"/>
        </w:rPr>
        <w:t xml:space="preserve"> products with similar technology may experience problems with their product candidates or programs that could in turn cause us to identify problems with our product candidates and programs or cause the FDA or other regulatory bodies to impose additional requirements, that could cause us to delay or pause development of our product candidates. Any of these occurrences may harm our ability to identify and develop product candidates, and may harm our business, financial condition, results of operations and prospects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experience manufacturing delays or other issues that prevent us from executing the clinical trials for nex-z and for lonvo-z or our other product candidates on the timeline we expect. Moreover, we cannot guarantee that the FDA, MHRA, EMA, or other regulatory authorities will not change their requirements in the future or that they will approve amendments to our IND applications or equivalent regulatory filings, including for nex-z and lonvo-z, or our other product candidates, on the timeline we expect.</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Results, including data from our preclinical and clinical studies, are not necessarily predictive of our other ongoing and future preclinical and clinical studies, and they do not guarantee or indicate the likelihood of approval of any potential product candidate by the FDA or any other regulatory agency. If we cannot replicate the positive results from any of our preclinical or clinical activities and studies, we may be unable to successfully develop, obtain regulatory approval for and commercialize any potential product candidate.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disclose interim data from our clinical trials, such as the interim results of our ongoing Phase 1 study of nex-z or Phase 1/2 study of lonvo-z. Interim data from clinical trials that have not been completed are subject to the risk that the later results may be materially different as patient enrollment continues. We also make assumptions, estimations, calculations and conclusions as part of our analyses of data, and we may not have received or had the opportunity to fully and carefully evaluate all data. As a result, results that we report may differ from future results of the same studies, or different conclusions or considerations may qualify such results, once additional data have been received and fully evaluated. Consequently, interim data should be viewed with caution until we make the final data and analysis available.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there is a high failure rate, as well as potential substantial and unanticipated delays, for product candidates progressing through preclinical and clinical studies. Even if we are able to successfully complete our ongoing and future preclinical and clinical activities and studies for any potential product candidate, we may not be able to replicate, or may have to engage in significant efforts and resource and time investments to replicate, any positive results from these or any other studies in any of our future preclinical and clinical trials, and they do not guarantee approval of any potential product candidate by the FDA or any other necessary regulatory authorities in a timely manner or at all. For more information regarding these risks, see the remainder of this risk factor section. </w:t>
      </w:r>
    </w:p>
    <w:p>
      <w:pPr>
        <w:pStyle w:val="TextBody"/>
        <w:bidi w:val="0"/>
        <w:spacing w:before="240" w:after="283"/>
        <w:jc w:val="both"/>
        <w:rPr>
          <w:rFonts w:ascii="Times New Roman" w:hAnsi="Times New Roman"/>
          <w:sz w:val="20"/>
        </w:rPr>
      </w:pPr>
      <w:r>
        <w:rPr>
          <w:rFonts w:ascii="Times New Roman" w:hAnsi="Times New Roman"/>
          <w:b/>
          <w:i/>
          <w:color w:val="000000"/>
          <w:sz w:val="20"/>
        </w:rPr>
        <w:t>*Negative public opinion and increased regulatory scrutiny of CRISPR use, genome editing or gene therapy may damage public perception of the safety of our product candidates and adversely affect our ability to conduct our business or obtain regulatory approvals for such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Gene therapy in general, and genome editing in particular, remain novel technologies, with only a limited number of gene therapy products, and only one </w:t>
      </w:r>
      <w:r>
        <w:rPr>
          <w:rFonts w:ascii="Times New Roman" w:hAnsi="Times New Roman"/>
          <w:i/>
          <w:color w:val="000000"/>
          <w:sz w:val="20"/>
        </w:rPr>
        <w:t>ex vivo</w:t>
      </w:r>
      <w:r>
        <w:rPr>
          <w:rFonts w:ascii="Times New Roman" w:hAnsi="Times New Roman"/>
          <w:color w:val="000000"/>
          <w:sz w:val="20"/>
        </w:rPr>
        <w:t xml:space="preserve"> genome editing product, approved to date in the U.S. and EU. Public perception may be influenced by claims that gene therapy or genome editing, including the use of CRISPR, is unsafe or unethical, or carries an undue risk of side effects, such as improper modification of a gene sequence in a patient’s chromosome that could lead to disease such as cancer, and gene therapy or genome editing may not gain the acceptance of the public or the medical community. In particular, our success will depend upon physicians who specialize in the treatment of diseases targeted by our product candidates prescribing our product candidates in lieu of, or in addition to, existing treatments with which they are more familiar and for which greater clinical data may be available. In addition, responses by the U.S., state or foreign governments to negative public perception or ethical concerns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could have an adverse effect on our business, financial condition and results of operations and prospects, and may delay or impair the development and commercialization of our product candidates or demand for any products we may develop. For example, certain gene therapy trials led to several well-publicized adverse events, including cases of leukemia and death, and serious adverse events also have occurred in connection with commercial use of approved gene therapies. For more information, see the above risk factor entitled “</w:t>
      </w:r>
      <w:r>
        <w:rPr>
          <w:rFonts w:ascii="Times New Roman" w:hAnsi="Times New Roman"/>
          <w:b/>
          <w:i/>
          <w:color w:val="000000"/>
          <w:sz w:val="20"/>
        </w:rPr>
        <w:t>We may incur additional costs or experience delays in completing, or ultimately be unable to complete, the development and commercialization of any product candidates</w:t>
      </w:r>
      <w:r>
        <w:rPr>
          <w:rFonts w:ascii="Times New Roman" w:hAnsi="Times New Roman"/>
          <w:b/>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Serious adverse events, such as these, in our clinical trials, or other clinical trials involving gene therapy or genome editing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 In addition, the use of genome editing technology by third parties in areas that are not being pursued by us, such as for targeting and editing of embryonic cells, could adversely impact public and governmental perceptions regarding the ethics and risks of CRISPR technology and lead to social or legal changes that could limit our ability to apply the technology to develop human therapies addressing disease. For example, reports of the use of CRISPR in China and Russia to edit embryos </w:t>
      </w:r>
      <w:r>
        <w:rPr>
          <w:rFonts w:ascii="Times New Roman" w:hAnsi="Times New Roman"/>
          <w:i/>
          <w:color w:val="000000"/>
          <w:sz w:val="20"/>
        </w:rPr>
        <w:t xml:space="preserve">in utero </w:t>
      </w:r>
      <w:r>
        <w:rPr>
          <w:rFonts w:ascii="Times New Roman" w:hAnsi="Times New Roman"/>
          <w:color w:val="000000"/>
          <w:sz w:val="20"/>
        </w:rPr>
        <w:t>have generated, and may continue to generate, negative public perception about the use of the technology in humans. Negative public and governmental perception of the technology, or additional governmental regulation of our technologies, could also adversely affect our stock price or our ability to enter into revenue generating collaborations or obtain additional funding from the public markets.</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the Industry</w:t>
      </w:r>
    </w:p>
    <w:p>
      <w:pPr>
        <w:pStyle w:val="TextBody"/>
        <w:bidi w:val="0"/>
        <w:spacing w:before="120" w:after="283"/>
        <w:jc w:val="both"/>
        <w:rPr>
          <w:rFonts w:ascii="Times New Roman" w:hAnsi="Times New Roman"/>
          <w:sz w:val="20"/>
        </w:rPr>
      </w:pPr>
      <w:r>
        <w:rPr>
          <w:rFonts w:ascii="Times New Roman" w:hAnsi="Times New Roman"/>
          <w:b/>
          <w:i/>
          <w:color w:val="000000"/>
          <w:sz w:val="20"/>
        </w:rPr>
        <w:t>*Inconclusive results, lack of efficacy, adverse events or additional safety concerns in clinical trials that we or others conduct may impede the regulatory approval process or overall market acceptance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Therapeutic applications of genome editing technologies, and CRISPR in particular, for both </w:t>
      </w:r>
      <w:r>
        <w:rPr>
          <w:rFonts w:ascii="Times New Roman" w:hAnsi="Times New Roman"/>
          <w:i/>
          <w:color w:val="000000"/>
          <w:sz w:val="20"/>
        </w:rPr>
        <w:t>in vivo</w:t>
      </w:r>
      <w:r>
        <w:rPr>
          <w:rFonts w:ascii="Times New Roman" w:hAnsi="Times New Roman"/>
          <w:color w:val="000000"/>
          <w:sz w:val="20"/>
        </w:rPr>
        <w:t xml:space="preserve"> products and </w:t>
      </w:r>
      <w:r>
        <w:rPr>
          <w:rFonts w:ascii="Times New Roman" w:hAnsi="Times New Roman"/>
          <w:i/>
          <w:color w:val="000000"/>
          <w:sz w:val="20"/>
        </w:rPr>
        <w:t xml:space="preserve">ex vivo </w:t>
      </w:r>
      <w:r>
        <w:rPr>
          <w:rFonts w:ascii="Times New Roman" w:hAnsi="Times New Roman"/>
          <w:color w:val="000000"/>
          <w:sz w:val="20"/>
        </w:rPr>
        <w:t xml:space="preserve">products, are uncertain and must undergo rigorous clinical trials and regulatory review before receiving marketing authorization. If the results of our clinical studies or those of any other third parties, including with respect to genome editing technology or engineered cell therapies, are inconclusive or fail to show efficacy or if such clinical trials give rise to safety concerns or adverse events, we may: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prevented from, or delayed in, obtaining marketing approval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approval for indications or patient populations that are not as broad as intended or desired;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approval with labeling that includes significant use or distribution restrictions or safety warnings;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subject to the addition of labeling statements, such as warnings or contraindications, or other types of regulatory restrictions or scrutiny;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subject to changes in the way the product is administered;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required to perform additional clinical studies to support approval or be subject to additional post-marketing testing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have regulatory authorities modify or withdraw their legal requirements or written guidance, if any, regarding the applicable regulatory approval pathway or any approval of the product in question, or impose restrictions on its distribution in the form of a modified REMS or similar strategy;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sued;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damage to our reputation.</w:t>
      </w:r>
    </w:p>
    <w:p>
      <w:pPr>
        <w:pStyle w:val="TextBody"/>
        <w:bidi w:val="0"/>
        <w:spacing w:before="240" w:after="283"/>
        <w:jc w:val="both"/>
        <w:rPr>
          <w:rFonts w:ascii="Times New Roman" w:hAnsi="Times New Roman"/>
          <w:sz w:val="20"/>
        </w:rPr>
      </w:pPr>
      <w:r>
        <w:rPr>
          <w:rFonts w:ascii="Times New Roman" w:hAnsi="Times New Roman"/>
          <w:color w:val="000000"/>
          <w:sz w:val="20"/>
        </w:rPr>
        <w:t>For more information, see the above risk factor entitled “</w:t>
      </w:r>
      <w:r>
        <w:rPr>
          <w:rFonts w:ascii="Times New Roman" w:hAnsi="Times New Roman"/>
          <w:b/>
          <w:i/>
          <w:color w:val="000000"/>
          <w:sz w:val="20"/>
        </w:rPr>
        <w:t>We may incur additional costs or experience delays in completing, or ultimately be unable to complete, the development and commercialization of any product candidates</w:t>
      </w:r>
      <w:r>
        <w:rPr>
          <w:rFonts w:ascii="Times New Roman" w:hAnsi="Times New Roman"/>
          <w:b/>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our product candidates could potentially cause other adverse events that have not yet been predicted and the potentially permanent nature of genome editing effects, including CRISPR’s effects, on genes or novel cell therapies in the organs of the human body may make these adverse events irreversible. The inclusion of critically ill patients in our clinical studies or those of our competitors may result in deaths or other adverse medical events, including those due to other therapies or medications that such patients may be using. Any of these events could prevent us from achieving or maintaining regulatory approval or market acceptance of our product candidates and impair our ability to achieve profitability. </w:t>
      </w:r>
    </w:p>
    <w:p>
      <w:pPr>
        <w:pStyle w:val="TextBody"/>
        <w:bidi w:val="0"/>
        <w:spacing w:before="240" w:after="283"/>
        <w:jc w:val="both"/>
        <w:rPr>
          <w:rFonts w:ascii="Times New Roman" w:hAnsi="Times New Roman"/>
          <w:sz w:val="20"/>
        </w:rPr>
      </w:pPr>
      <w:r>
        <w:rPr>
          <w:rFonts w:ascii="Times New Roman" w:hAnsi="Times New Roman"/>
          <w:b/>
          <w:i/>
          <w:color w:val="000000"/>
          <w:sz w:val="20"/>
        </w:rPr>
        <w:t>Research and development of biopharmaceutical products is inherently risky. We may not be successful in our efforts to use and enhance our genome editing technology to create a pipeline of product candidates, establish the necessary manufacturing capabilities, obtain regulatory approval and develop commercially successful products, or we may expend our limited resources on programs that do not yield a successful product candidate and fail to capitalize on potential product candidates or diseases that may be more profitable or for which there is a greater likelihood of success. If we fail to develop product candidates, our commercial opportunity, if any, will be limited.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at a clinical stage of development and our technology and approach has not yet led, and may never lead, to the approval or commercialization of any of our product candidates, including nex-z for ATTR amyloidosis and lonvo-z for HAE, or to our other preclinical stage product candidates being deemed appropriate for clinical development and ultimately approval by a regulatory agency. Even if we are successful in building our pipeline of product candidates, completing clinical development, establishing the necessary manufacturing processes and capabilities, obtaining regulatory approvals and commercializing product candidates will require substantial additional funding and are subject to the risks of failure inherent in therapeutic product development. Investment in biopharmaceutical product development involves significant risk that any potential product candidate will fail to demonstrate acceptable safety and efficacy profiles, gain regulatory approval, or become commercially viable.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provide any assurance that we will be able to successfully advance any of our product candidates, including nex-z, lonvo-z, or product candidates developed through our collaborations, through the entire research and development process. Any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of our other programs may show promise yet fail to yield product candidates for clinical development or commercialization for many reasons. For more information regarding these risks, see the above risk factor section entitled “</w:t>
      </w:r>
      <w:r>
        <w:rPr>
          <w:rFonts w:ascii="Times New Roman" w:hAnsi="Times New Roman"/>
          <w:color w:val="000000"/>
          <w:sz w:val="20"/>
          <w:u w:val="single"/>
        </w:rPr>
        <w:t>Risks Related to Preclinical and Clinical Development.</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b/>
          <w:i/>
          <w:color w:val="000000"/>
          <w:sz w:val="20"/>
        </w:rPr>
        <w:t>*Even if we obtain regulatory approval of any product candidates, such candidates may not gain market acceptance among physicians, patients, hospitals, third party payors and others in the medical community.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use of the CRISPR system to create genome editing-based therapies is a recent development and may not become broadly accepted by patients, healthcare providers, third party payors and other stakeholders. A variety of factors will influence whether our product candidates are accepted in the market, including, for example: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clinical indications for which our product candidates are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and perceived advantages of our product candidates over alternative treatments;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incidence and severity of any side effects, including any unintended deoxyribonucleic acid (“DNA”) changes;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labeling or product insert requirements of the FDA or other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limitations or warnings contained in the labeling approved by the FDA or other regulatory authorities, which may include warnings or other information about possible unintended DNA changes;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market introduction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availability or existence of competitive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treatment in relation to alternative treatments;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amount of upfront costs or training required for healthcare providers to administer our product candidates, which may include availability of adequate facilities and equipment;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of adequate coverage, reimbursement and pricing by government authorities and other third 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ability to access healthcare providers capable of delivering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willingness and ability to pay out-of-pocket in the absence of coverage and reimbursement by government authorities and other third 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and of physicians to prescribe these therapies;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relative convenience and ease of administration, including as compared to alternative treatments and competitive therapies;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restrictions on the use of our product candidates together with other medications;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interactions of our product candidates with other medicines patients are taking;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potential adverse events for any products developed, or negative interactions with regulatory agencies, by us or others in the gene therapy and genome editing fields. For more information, see the above risk factor entitled </w:t>
      </w:r>
      <w:r>
        <w:rPr>
          <w:color w:val="000000"/>
        </w:rPr>
        <w:t>“</w:t>
      </w:r>
      <w:r>
        <w:rPr>
          <w:rFonts w:ascii="Times New Roman" w:hAnsi="Times New Roman"/>
          <w:b/>
          <w:i/>
          <w:color w:val="000000"/>
          <w:sz w:val="20"/>
        </w:rPr>
        <w:t>We may incur additional costs or experience delays in completing, or ultimately be unable to complete, the development and commercialization of any product candidates</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effectiveness of our sales and marketing efforts and distribution support.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Even if our products achieve market acceptance, we may not be able to maintain that market acceptance over time if new products or technologies are introduced that are more favorably received than our products, are more cost effective or render our products obsolete. In addition, adverse publicity due to the ethical and social controversies surrounding the therapeutic </w:t>
      </w:r>
      <w:r>
        <w:rPr>
          <w:rFonts w:ascii="Times New Roman" w:hAnsi="Times New Roman"/>
          <w:i/>
          <w:color w:val="000000"/>
          <w:sz w:val="20"/>
        </w:rPr>
        <w:t xml:space="preserve">in vivo </w:t>
      </w:r>
      <w:r>
        <w:rPr>
          <w:rFonts w:ascii="Times New Roman" w:hAnsi="Times New Roman"/>
          <w:color w:val="000000"/>
          <w:sz w:val="20"/>
        </w:rPr>
        <w:t>use of CRISPR, genome edited modified cells, or other therapeutics mediums, such as viral vectors that we may use in our clinical trials may limit market acceptance of our product candidates. If our product candidates are approved but fail to achieve market acceptance among physicians, patients, hospitals, third party payors or others in the medical community, we will not be able to generate significant revenue. Our efforts to educate the healthcare providers, patients and third party payors about our products may require significant resources and may never be successful.</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Risks Related to Third Party and Licensed Intellectual Property</w:t>
      </w:r>
    </w:p>
    <w:p>
      <w:pPr>
        <w:pStyle w:val="TextBody"/>
        <w:bidi w:val="0"/>
        <w:spacing w:before="120" w:after="283"/>
        <w:jc w:val="both"/>
        <w:rPr>
          <w:rFonts w:ascii="Times New Roman" w:hAnsi="Times New Roman"/>
          <w:sz w:val="20"/>
        </w:rPr>
      </w:pPr>
      <w:r>
        <w:rPr>
          <w:rFonts w:ascii="Times New Roman" w:hAnsi="Times New Roman"/>
          <w:b/>
          <w:i/>
          <w:color w:val="000000"/>
          <w:sz w:val="20"/>
        </w:rPr>
        <w:t>*Third party claims of intellectual property infringement against us, our licensors or our collaborators may prevent or delay our product discovery, research, development, and/or commercialization efforts.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depends in part on our avoiding infringement of the valid patents and proprietary rights of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Numerous U.S. and foreign issued patents and pending patent applications owned by third parties exist in the fields in which we are developing our product candidates and in areas potentially related to components and methods we use or may use in our research, development, and commercialization efforts. As our product candidates advance through development, as research in the fields in which we work expands, and as more patents are issued, the risk increases that our product candidates, or the resulting products, may give rise to claims of infringement of patent rights owned or controlled by third parties. Our product candidates are complex and may include multiple components, such as Cas9 protein or messenger ribonucleic acid encoding Cas9 protein, guide ribonucleic acids (“gRNAs”), targeting molecules, virus or virus-like particles, or formulation components, such as lipids and lipid nanoparticles. We cannot guarantee that any of these components of our technology, processes, or future product candidates, or the commercialization or use of such product candidates, do not infringe third party patents. It is also possible that we have failed to identify relevant third party patents or applications. Because patent rights are granted jurisdiction-by-jurisdiction, our freedom to practice certain technologies, including our ability to research, develop and/or commercialize our product candidates, or the resulting products, may differ by country.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 parties may assert that we infringe their patents or that we are otherwise employing their proprietary technology without authorization and may sue us. There may be third party patents with claims to compositions, formulations, methods of manufacture or methods of use or treatment that cover product candidates we discover, research, develop, and/or commercialize. For example, on July 8, 2024, BlueAllele Corp. (“BlueAllele”) filed a complaint alleging infringement by Intellia of various patents in the U.S. District Court for the District of Delaware, as more fully discussed in the Legal Proceedings section below.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or the manufacture, use or sale of our product candidates or products that we develop infringes these patents. If a court of competent jurisdiction were to hold that we infringed such patents, the holders of any such patents may be able to obtain a court order, or other form of relief, blocking our ability to commercialize, manufacture, import, and/or use the applicable product candidate, or resulting products, in the applicable jurisdiction(s) unless we obtain a license under the applicable patents, or until such patents expire or are finally determined to be held invalid or unenforceable. Such a license may not be available on commercially reasonable terms or at all, or obtaining such a license may result in significant costs or delays. Even if we were able to obtain a license, it could be limited in scope or geography or it could be non-exclusive, i.e., our competitors may be able to obtain a similar license on substantially the same or better terms. If we are unable to obtain a license on reasonable terms, we could be forced, including by court order, to cease commercializing, manufacturing, importing, and/or using the infringing technology or product, or to redesign our infringing products, which could result in significant costs or delays. In addition, we could be found liable for monetary damages, including treble damages and attorneys’ fees if we are found to have willfully infringed a patent. Any of the foregoing assertions or results could materially harm our business, cause significant costs or delays to our plans, and/or prevent us from further developing and commercializing the affected product candidates or products, thereby causing us significant harm.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be obligated to defend and/or indemnify our existing or potential collaborators, clinical investigators, contract manufacturing organizations (“CMOs”), CROs, consultants or vendors if a third party asserts similar infringement claims against them based on use of our technologies or the manufacture, use or sale of our product candidates or products that we develop, including product candidates or products developed with our collaborators.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Claims that we have misappropriated the confidential information or trade secrets of third parties could have a similar negative impact on our business. Even if we are not found liable for infringing or misappropriating the intellectual property of a third party, such claims could be expensive and time-consuming to defend and could result in adverse publicity that could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parties may seek to obtain intellectual property rights that encompass or overlap with intellectual property that we own or license from them or others. Legal proceedings may be initiated to determine the scope and ownership of these rights, and could result in our loss of intellectual property rights. As discussed above, legal proceedings asserting that we infringe, do not own, or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do not have the right to exploit intellectual property rights of a third party could result in legal orders, such as injunctions or other equitable relief, that could effectively block our ability to further develop and commercialize our product candidates or products that we develop, or require us to obtain a license to such third party’s intellectual property rights, resulting in significant costs or delays. In addition, as discussed above, such legal proceedings could affect product candidates or products developed with our collaborators, which may also require us to defend and/or indemnify our collaborators.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through a license agreement between Caribou Biosciences, Inc. and us (the “Caribou License”), we sublicense the rights of the Regents of the University of California and the University of Vienna (collectively, “UC/Vienna”) to a worldwide patent portfolio that covers methods of use and compositions relating to engineered CRISPR systems for, among other things, cleaving or editing DNA and altering gene product expression in various organisms, including eukaryotic cells. We sublicense the UC/Vienna rights to this patent portfolio for human therapeutic, prophylactic and palliative uses, including companion diagnostics, except for anti-fungal and anti-microbial uses. Because UC/Vienna co-own this portfolio with Dr. Emmanuelle Charpentier (who has separately licensed her rights to other parties), we refer to this co-owned worldwide patent portfolio as the “UC/Vienna/Charpentier patent family.” In addition, we have granted further sublicenses to this portfolio to our collaborators in certain fields of use. The UC/Vienna/Charpentier patent portfolio to-date includes, for example, multiple granted, allowed, and/or allowable patent applications in the U.S., as well as granted patents from the European Patent Office, the United Kingdom’s Intellectual Property Office, the German Patent and Trade Mark Office, Australia’s Intellectual Property agency and China’s Intellectual Property Office, among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 parties could assert, and have in the past asserted, that our licensors do not have rights to the licensed patents and/or patent applications (such as, in the case of the Caribou License, the UC/Vienna/Charpentier patent family), including inventorship and ownership rights to currently issued or allowable patents. In addition, third parties could assert, and have asserted, that our licensors, or any rights owned by our licensors, such as UC/Vienna/Charpentier, are limited. If such third parties were found to have rights to patents or patent applications covering our licensed technology (such as CRISPR technology), they could assert that we infringe such patents and, as discussed above, we may be required to obtain rights from such parties (e.g., by obtaining a license) or cease our development and commercialization efforts. Even if such third parties are not ultimately successful in their claims, such assertions could result in significant costs or delays to our programs.</w:t>
      </w:r>
    </w:p>
    <w:p>
      <w:pPr>
        <w:pStyle w:val="TextBody"/>
        <w:bidi w:val="0"/>
        <w:spacing w:before="240" w:after="283"/>
        <w:jc w:val="both"/>
        <w:rPr>
          <w:rFonts w:ascii="Times New Roman" w:hAnsi="Times New Roman"/>
          <w:sz w:val="20"/>
        </w:rPr>
      </w:pPr>
      <w:r>
        <w:rPr>
          <w:rFonts w:ascii="Times New Roman" w:hAnsi="Times New Roman"/>
          <w:color w:val="000000"/>
          <w:sz w:val="20"/>
        </w:rPr>
        <w:t>For example, various patent applications within the UC/Vienna/Charpentier patent family and the Broad Institute patent family have been involved in patent interferences and other patent challenges in the U.S. and other jurisdictions, in which the respective owners have alleged, and are alleging, that they invented and/or own intellectual property claiming overlapping aspects of CRISPR systems. Specifically, certain patent applications within the UC/Vienna/Charpentier patent family, licensed to us under the Caribou License, covering certain aspects of CRISPR systems to edit genes in eukaryotic cells, including human cells (collectively, the “UC/Vienna/Charpentier eukaryotic patent family”) have been the subject of patent interferences involving patents and patent applications co-owned by the Broad Institute, Massachusetts Institute of Technology, the President and Fellows of Harvard College and the Rockefeller University (collectively, the “Broad Institute”) that also claim CRISPR systems to edit genes in eukaryotic cells (collectively, the “Broad Institute patent family”). On June 25, 2019, the Patent Trial and Appeal Board (“PTAB”) of the U.S. Patent and Trademark Office (“USPTO”) declared an interference between the UC/Vienna/Charpentier eukaryotic patent family and the Broad Institute patent family to determine which research group first invented the use of the CRISPR technology in eukaryotic cells and, therefore, is entitled to the U.S. patents covering that invention. The interference involved 14</w:t>
      </w:r>
      <w:r>
        <w:rPr>
          <w:rFonts w:ascii="Times New Roman" w:hAnsi="Times New Roman"/>
          <w:color w:val="CC0000"/>
          <w:sz w:val="20"/>
        </w:rPr>
        <w:t xml:space="preserve"> </w:t>
      </w:r>
      <w:r>
        <w:rPr>
          <w:rFonts w:ascii="Times New Roman" w:hAnsi="Times New Roman"/>
          <w:color w:val="000000"/>
          <w:sz w:val="20"/>
        </w:rPr>
        <w:t>allowable patent applications from the UC/Vienna/Charpentier eukaryotic patent family and 13</w:t>
      </w:r>
      <w:r>
        <w:rPr>
          <w:rFonts w:ascii="Times New Roman" w:hAnsi="Times New Roman"/>
          <w:color w:val="CC0000"/>
          <w:sz w:val="20"/>
        </w:rPr>
        <w:t xml:space="preserve"> </w:t>
      </w:r>
      <w:r>
        <w:rPr>
          <w:rFonts w:ascii="Times New Roman" w:hAnsi="Times New Roman"/>
          <w:color w:val="000000"/>
          <w:sz w:val="20"/>
        </w:rPr>
        <w:t>patents and one patent application from the Broad Institute patent family. On February 28, 2022, the PTAB issued a Decision of Priority and Judgment in the interference, finding that the Broad Institute patent family has priority over the UC/Vienna/Charpentier patent family with respect to the subject matter of the interference. Both parties filed appeals to the United States Court of Appeals for the Federal Circuit as Case Nos. 22-1594 and 22-1653 (the “Interference Appeal”), and the oral argument occurred on May 7, 2024. On May 12, 2025, the Federal Circuit panel issued its decision in the Interference Appeal. The Federal Circuit (a) vacated the PTAB’s finding that the Broad Institute was the first to invent the use of CRISPR technology in eukaryotic cells, (b) returned the case to the PTAB to determine which research group was the first to invent the use of CRISPR technology in eukaryotic cells under the correct legal standard, (c) affirmed the PTAB’s finding that the first application filed by UC/Vienna/Charpentier lacked written description support, and (d) dismissed the Broad Institute’s cross-appeal. On March 26, 2026, the PTAB issued its Decision on Priority and Judgment following the Federal Circuit’s remand, again finding that the Broad Institute patent family has priority over the UC/Vienna/Charpentier patent family with respect to the subject matter of the interference.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on December 14, 2020, the PTAB declared an interference between the same 14 allowable patent applications in the UC/Vienna/Charpentier eukaryotic patent family, and one patent application owned by ToolGen, Inc. And, on June 21, 2021, the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PTAB declared another interference between the same 14 allowable patent applications in the UC/Vienna/Charpentier eukaryotic patent family and one patent application owned by Sigma-Aldrich Co. LLC (a subsidiary of Merck KGaA). Because the patent applications involved in these interferences also purport to cover the use of CRISPR for gene editing in eukaryotic cells, the PTAB seeks to determine between the various groups which one invented first and is entitled to the resulting U.S. patents. A decision on motions issued in the ToolGen interference on September 28, 2022, and the priority phase of that interference was suspended. In January 2026, in response to a motion from ToolGen seeking to lift the suspension, the PTAB ordered that the stay in the ToolGen interference will be lifted following a decision on remand in the Broad Interference, and the prevailing party in the Broad interference will then proceed with the priority phase against ToolGen. The Sigma-Aldrich interference is currently stayed. In addition, other third parties, such as Vilnius University (whose patents we have sublicensed under our Caribou Agreement) and Harvard University, filed patent applications claiming CRISPR-related inventions around or within a year after the first patent application filed in the UC/Vienna/Charpentier patent family and allege (or may allege) that they invented one or more of the inventions claimed by UC/Vienna/Charpentier before UC/Vienna/Charpentier. If the USPTO deems the scope of any of such third party’s claims sufficiently overlap with the allowable claims from the applicable patent applications in the UC/Vienna/Charpentier patent family, the USPTO could declare other interference proceedings to determine the actual inventor of such claims.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either the Broad Institute, ToolGen or Sigma-Aldrich were to succeed in any of their respective interferences, or if other third parties, such as Vilnius University or Harvard University, pursue claims and succeed in such claims, the prevailing party or parties could assert its issued patents against us based on our CRISPR-based activities, including research, development, and commercialization of our product candidates or resulting products. In addition, such claims could result in the loss of rights to certain patents and patent applications in the UC/Vienna/Charpentier patent family and, thus, we (and our sublicensees) could lose the benefits that we obtained under our Caribou License to the UC/Vienna/Charpentier patent family. The prevailing party may also assert similar infringement claims against our existing or potential collaborators, clinical investigators, CMOs, CROs, consultants or vendors, and we may be obligated to defend and/or indemnify those parties against such infringement claims. As discussed above, such allegations or litigation may affect our ability to market and sell CRISPR-based human therapeutics and may result in significant costs or delays to our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many third parties, including the third parties described above, have also filed patent applications and obtained patents covering aspects of the CRISPR technology in other key jurisdictions, including the EU members, the U.K., China and Japan. If these patents are deemed valid and cover our product candidates or related activities, we could be prevented from developing and/or commercializing all or some of our product candidates, or the resulting products, unless we license the relevant intellectual property or avoid it.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Defense of any potential infringement claims, regardless of their merit, would involve substantial litigation expense, would be a substantial diversion of management and other employee resources from our business and may impact our reputation. In the event of a successful claim of infringement against us, or a third party that we are obliged to defend and indemnify,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In that event, we could be unable to further develop and commercialize our product candidates, which could harm our business significantly. For example, the BlueAllele litigation described above has required us to divert resources to the defense of BlueAllele’s allegations.</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licensed intellectual property from third parties for use in our programs, and termination or modification of any of these licenses could result in the loss of those intellectual property rights, which could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patents, know-how and proprietary technology, both our own and licensed from others, including Caribou. Any termination of these licenses, loss by our licensors of the rights they receive from others, diminution of our rights or those of our licensors, or a finding that such intellectual property lacks legal effect, could result in the loss of significant rights and could harm our ability to commercialize any product candidates.</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Disputes have and may arise between us and our licensors (e.g., Caribou), our licensors (e.g., Caribou) and their licensors (e.g., UC/Vienna), or us and third parties that co-own intellectual property with our licensors or their licensors, regarding the scope of our rights to intellectual property that is subject to a license agreement, including those relating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of rights, if any, granted under the license agreement (e.g, the Caribou License) and other issues related to the terms of the license agreement;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and the extent to which our technology, products and processes infringe, or derive from, intellectual property of the licensor that is not subject to the license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our licensor or its licensor in the case of a sublicense (e.g., UC/Vienna as Caribou’s licensor in the case of our Caribou License) had the right to grant the license agreement, or whether they are compliant with their contractual obligations to their respective licensor(s);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third parties are entitled to compensation or equitable relief, such as an injunction, for our use of the intellectual property without their authorization;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right to sublicense patent and other rights to third parties, including those under collaborative development relationships;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we are complying with our obligations with respect to the use of the licensed technology in relation to our development and commercialization of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involvement in the prosecution, defense and enforcement of the licensed patents and our licensors’ overall patent strategy;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allocation of ownership of inventions and know-how resulting from the joint creation or use of intellectual property by our licensors and by us and our partners;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amounts of royalties, milestones or other payments due under the license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or are insufficient to provide us the necessary rights to use the intellectual property, we may be unable to successfully develop and commercialize the affected product candidates. If we or any such licensors fail to adequately protect this intellectual property, our ability to commercialize our products could suffer.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depend, in part, on our licensors to file, prosecute, maintain, defend and enforce patents and patent applications that are material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Patents relating to our product candidates are controlled by certain of our licensors or their respective licensors. Each of our licensors or their licensors generally has rights to file, prosecute, maintain and defend the patents we have licensed from such licensor. If these licensors or any future licensees and in some cases, co-owners from which we do not yet have licenses, having rights to file, prosecute, maintain, and defend our patent rights fail to adequately conduct these activities for patents or patent applications covering any of our product candidates, our ability to develop and commercialize those product candidates may be adversely affected and we may not be able to prevent competitors from making, using or selling competing products. We cannot be certain that such activities by our licensors or their respective licensors have been or will be conducted in compliance with applicable laws and regulations or in our best interests or will result in valid and enforceable patents or other intellectual property rights. Pursuant to the terms of the license agreements with our licensors, the licensors may have the right to control enforcement of our licensed patents or defense of any claims asserting the invalidity of these patents and, even if we are permitted to pursue such enforcement or defense, we cannot ensure the cooperation of our licensors or, in some cases, other necessary parties, such as the co-owners of the intellectual property from which we have not yet obtained a license. We cannot be certain that our licensors or their licensors, and in some cases, their respective co-owners, will allocate sufficient resources or prioritize their or our enforcement of such patents or defense of such claims to protect our interests in the licensed patents. For example, with respect to our sublicensed rights from Caribou to UC/Vienna/Charpentier intellectual property, UC retained the right to control the prosecution, enforcement and defense of this intellectual property in its license agreement with Caribou and, pursuant to an Invention Management Agreement, shares these responsibilities with CRISPR Therapeutics AG and, under certain circumstances, ERS Genomics, Ltd., as the designated managers of the intellectual property. For these reasons, UC may be unable or unwilling to prosecute certain patent claims that would be best for our product candidates or enforce its patent rights against infringers of the UC/Vienna/Charpentier patent family.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we are not a party to legal actions or other disputes involving our licensed intellectual property,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not be successful in obtaining or maintaining in-licensed rights to product components and processes or other technology for our product development pipeline.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growth of our business will likely depend in part on our ability to acquire or in-license additional proprietary rights. For example, our programs may involve additional product candidates, delivery systems or technologies that may require the use of additional proprietary rights held by third parties, including competitors. Our ultimate product candidates may also require specific modifications or formulations to work effectively and efficiently. These modifications or formulations may be covered by intellectual property rights held by others, including competitors. We may be unable to acquire or in-license any relevant third party intellectual property rights that we identify as necessary or important to our business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licensing and acquisition of third party intellectual property rights is a competitive practice and companies that may be more established, or have greater resources than we do, may also be pursuing strategies to license or acquire third 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are unable to successfully obtain rights to valid third party intellectual property or to maintain the existing intellectual property rights we have, we may have to abandon development of such program and our business and financial condition could suffer.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required to pay certain milestones and royalties under our license agreements with third party licensors.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our current and future license agreements and other technology agreements, we may be required to pay milestones and royalties based on our revenues, including sales revenues of our products, utilizing the technologies acquired, licensed or sublicensed from third parties, including Caribou and Rewrite Therapeutics, Inc. (“Rewrite”), and these milestones and royalty payments could adversely affect our ability to research, develop and obtain approval of product candidates, as well as the overall profitability for us of any products that we may seek to commercialize. In order to maintain our intellectual property rights under these agreements, we will need to meet certain specified milestones, subject to certain cure provisions, in the development of our product candidates. Further, our counterparties, including our licensors (or their licensors) or licensees, may dispute the terms, including amounts, that we are required to pay under the respective agreements. If these claims were to result in a material increase in the amounts that we are required to pay to our counterparties, including licensors or their licensors, or in a claim of breach of the applicable agreement, our ability to research, develop and obtain approval of product candidates, or to commercialize products, could be significantly impaired.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these agreements contain diligence milestones and we may not be successful in meeting all of the milestones in the future on a timely basis or at all. We will need to outsource and rely on third parties for many aspects of the clinical development, sales and marketing of our products covered under our license agreements and other technology agreements. Delay or failure by these third parties could adversely affect the continuation of these agreements with their counterparties, including our licensors or their licensors.</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Patents and Trademarks</w:t>
      </w:r>
    </w:p>
    <w:p>
      <w:pPr>
        <w:pStyle w:val="TextBody"/>
        <w:bidi w:val="0"/>
        <w:spacing w:before="120" w:after="283"/>
        <w:jc w:val="both"/>
        <w:rPr>
          <w:rFonts w:ascii="Times New Roman" w:hAnsi="Times New Roman"/>
          <w:sz w:val="20"/>
        </w:rPr>
      </w:pPr>
      <w:r>
        <w:rPr>
          <w:rFonts w:ascii="Times New Roman" w:hAnsi="Times New Roman"/>
          <w:b/>
          <w:i/>
          <w:color w:val="000000"/>
          <w:sz w:val="20"/>
        </w:rPr>
        <w:t>We could be unsuccessful in obtaining or maintaining adequate patent protection for one or more of our products or product candidates or asserting and defending our intellectual property rights that protect our products and technologies.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anticipate that we will file additional patent applications both in the U.S. and in other countries, as appropriate. However, we cannot predict: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and when any patents will issue;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degree and range of protection any issued patents will afford us against competitors, including whether third parties will find ways to invalidate or otherwise circumvent our patents;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others will apply for or obtain patents claiming aspects similar to those covered by our patents and patent applications;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certain governments will appropriate our intellectual property rights and allow competitors to use them;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we will need to initiate litigation or administrative proceedings to assert or defend our patent rights, which may be costly whether we win or lose.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Composition of matter patents for biological and pharmaceutical products are generally considered to be the strongest form of intellectual property protection for those types of products, as such patents provide protection without regard to any method of use. We cannot be certain, however, that any claims in our pending or future patent applications covering the composition of matter of our product candidates will be considered patentable by the USPTO or by patent offices in foreign countries, or that the claims in any of our ultimately issued patents will be considered valid and enforceable by courts in the U.S. or foreign countries. Method of use patents protect the use of a product for the specified method, for example a method of treating a certain indication using a product.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for those uses that are covered by our method of use patents. Although off-label prescriptions may infringe or contribute to the infringement of method of use patents, the practice is common and such infringement is difficult to prevent or prosecute.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strength of patents in the biotechnology and pharmaceutical field can be uncertain, and evaluating the scope of such patents involves complex legal and scientific analyses. The patent applications that we own or in-license may fail to result in issued patents with claims that cover any product candidates or uses thereof in the U.S. or in other foreign countries.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the patent prosecution process is expensive and time-consuming, and we may not be able to file and prosecute all necessary or desirable patent applications at a reasonable cost, in a timely manner, or in all jurisdictions.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We may also require the cooperation of our licensors or other necessary parties, such as the co-owners of the intellectual property from which we have not yet obtained a license, in order to enforce the licensed patent rights, and such cooperation may not be provided. Therefore, these patents and applications may not be prosecuted and enforced in a manner consistent with the best interests of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laws of foreign countries may not protect our rights to the same extent as the laws of the U.S. and we may fail to seek or obtain patent protection in all major markets. For example, European patent law restricts the patentability of methods of treatment of the human body more than U.S. law does. Publications of discoveries in the scientific literature often lag behind the actual discoveries, and patent applications in the U.S. and other jurisdictions are typically not published until 18 months after filing, or in some cases not at all. Therefore, we will be unable to know with certainty whether we were the first to make any inventions claimed in any patents or patent applications, or that we were the first to file for patent protection of such inventions, nor can we know whether those from whom we license patents were the first to make the inventions claimed or were the first to file.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owned and licensed patents may be challenged in the courts or patent offices in the U.S. and abroad. There is a substantial amount of litigation as well as administrative proceedings for challenging patents, including interference, derivation, reexamination, and other post-grant proceedings before the USPTO and oppositions and other comparable proceedings in foreign jurisdictions, involving patents and other intellectual property rights in the biotechnology and pharmaceutical industries, and we expect this to be true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the CRISPR space as well. As discussed above, a number of third parties have filed oppositions challenging the validity, and seeking the revocation, of several CRISPR genome editing patents granted to UC/Vienna/Charpentier by the European Patent Office (“EPO”). U.S. law also provides for other procedures to challenge patents, including </w:t>
      </w:r>
      <w:r>
        <w:rPr>
          <w:rFonts w:ascii="Times New Roman" w:hAnsi="Times New Roman"/>
          <w:i/>
          <w:color w:val="000000"/>
          <w:sz w:val="20"/>
        </w:rPr>
        <w:t>inter partes</w:t>
      </w:r>
      <w:r>
        <w:rPr>
          <w:rFonts w:ascii="Times New Roman" w:hAnsi="Times New Roman"/>
          <w:color w:val="000000"/>
          <w:sz w:val="20"/>
        </w:rPr>
        <w:t xml:space="preserve"> reviews, post-grant reviews and, in certain circumstances, interference or derivation proceedings, which add uncertainty to the possibility of challenge to our developed or licensed patents and patent applications in the future. See the above risk factor entitled “</w:t>
      </w:r>
      <w:r>
        <w:rPr>
          <w:rFonts w:ascii="Times New Roman" w:hAnsi="Times New Roman"/>
          <w:b/>
          <w:i/>
          <w:color w:val="000000"/>
          <w:sz w:val="20"/>
        </w:rPr>
        <w:t>Third party claims of intellectual property infringement against us, our licensors or our collaborators may prevent or delay our product discovery, research, development and/or commercialization efforts</w:t>
      </w:r>
      <w:r>
        <w:rPr>
          <w:rFonts w:ascii="Times New Roman" w:hAnsi="Times New Roman"/>
          <w:b/>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Such challenges may result in loss of exclusivity or freedom to operate or in patent claims being narrowed, invalidated or held unenforceable, in whole or in part, which could limit our ability to practice the invention or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even if they are unchallenged, our patents and patent applications may not adequately protect our intellectual property or prevent others from designing their products to avoid being covered by our claims. If the breadth or strength of protection provided by the patent applications we hold is threatened, this could dissuade companies from collaborating with us to develop, and could threaten our ability to commercialize, product candidates. Further, if we encounter delays in our clinical trials, the period of time during which we could market product candidates under patent protection would be reduced. Because patent applications in the U.S. and most other countries are confidential for a period of time after filing, we cannot be certain that we were the first to file any patent application related to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pending and future patent applications or the patent applications that we obtain rights to through in-licensing arrangements may not result in patents being issued which protect our technology or future product candidates,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Litigation or other administrative proceedings challenging our intellectual property, including interferences, derivation, reexamination, </w:t>
      </w:r>
      <w:r>
        <w:rPr>
          <w:rFonts w:ascii="Times New Roman" w:hAnsi="Times New Roman"/>
          <w:i/>
          <w:color w:val="000000"/>
          <w:sz w:val="20"/>
        </w:rPr>
        <w:t>inter partes</w:t>
      </w:r>
      <w:r>
        <w:rPr>
          <w:rFonts w:ascii="Times New Roman" w:hAnsi="Times New Roman"/>
          <w:color w:val="000000"/>
          <w:sz w:val="20"/>
        </w:rPr>
        <w:t xml:space="preserve"> reviews and post-grant reviews, may result in a decision adverse to our interests and, even if we are successful, may result in substantial costs and distract our management and other employees. Furthermore, there could be public announcement of the results of hearings, motions or other interim proceedings or developments in any proceeding challenging the issuance, scope, validity and enforceability of our developed or licensed intellectual property. If securities analysts or investors perceive these results to be negative, it could have a substantial adverse effect on the price of our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these potential negative developments could impact the scope, validity, enforceability or commercial value of our patent rights and, as a result, have material adverse effect on our business, financial condition, results of operations or prospects.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 the future be subject to claims that former employees, collaborators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For example, the UC/Vienna/Charpentier patent family that is covered by our license agreement with Caribou is co-owned by UC/Vienna and Dr. Charpentier, and our sublicense rights are derived from the first two co-owners and not from Dr. Charpentier. Therefore, our rights to these patents are not exclusive and third parties, including competitors, may have access to intellectual property that is important to our business. In addition, we may have inventorship disputes arise from conflicting obligations of collaborators, consultants or others who are involved in developing our technology and product candidates. Litigation or other legal proceedings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limited foreign intellectual property rights and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Filing, prosecuting, maintaining and defending patents on product candidates in all countries throughout the world would be prohibitively expensive, and our intellectual property rights in some countries outside the U.S. can have a different scope and strength than do those in the U.S. In addition, the laws of some foreign countries, such as China, Brazil, Russia, India and South Africa,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U.S. These products may compete with our products and our patents or other intellectual property rights may not be effective or adequate to prevent them from competing. In addition, in jurisdictions outside the U.S., a license may not be enforceable unless all the owners of the intellectual property agree or consent to the license. Further, patients may choose to travel to countries in which we do not have intellectual property rights or which do not enforce these rights to obtain the products or treatment from competitors in such countries.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such as China, Brazil, Russia, India and South Africa,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involved in lawsuits to protect or enforce our patents, the patents of our licensors or our licenses, which could be expensive, time-consuming, and unsuccessful.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Competitors may infringe our patents or the patents of our licensors. To cease such infringement or unauthorized use, we may be required to file patent infringement claims, which can be expensive and time-consuming.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Interference or derivation proceedings provoked by third parties or brought by the USPTO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interference or derivation proceedings may result in a decision adverse to our interests and, even if we are successful, may result in substantial costs and distract our management and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if a party to our licenses, either a licensee or licensor, were to breach or challenge our rights under the relevant license agreement (or if one of our licensor’s own licensors were to challenge our licensor’s rights), we may have to initiate or participate in a legal proceeding to enforce our rights. Any such legal proceeding could be expensive and time-consuming. In addition, if a court or other tribunal were to rule against us, we could lose key intellectual property and financial rights. Pursuing or defending against these legal claims, regardless of merits, would involve substantial legal expense and would be a substantial diversion of employee resources from our business. Furthermore, because of the substantial amount of discovery required in connection with intellectual property litigation or contractual litigation there is a risk that some of our confidential information could be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compromised by disclosure during this type of litigation or proceeding.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Issued patents covering our product candidates could be found invalid or unenforceable if challenged in court or before the USPTO or comparable foreign authority.</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If we or one of our licensing partners initiate legal proceedings against a third party to enforce a patent covering one of our product candidates, the defendant could counterclaim that the patent covering our product candidate is invalid or unenforceable. In patent litigation in the U.S., defendant counterclaims alleging invalidity or unenforceability are commonplace, and there are numerous grounds upon which a third party can assert invalidity or unenforceability of a patent. Third parties may also raise similar claims before administrative bodies in the U.S. or other jurisdictions, even outside the context of litigation. Such mechanisms include re-examination, </w:t>
      </w:r>
      <w:r>
        <w:rPr>
          <w:rFonts w:ascii="Times New Roman" w:hAnsi="Times New Roman"/>
          <w:i/>
          <w:color w:val="000000"/>
          <w:sz w:val="20"/>
        </w:rPr>
        <w:t>inter partes</w:t>
      </w:r>
      <w:r>
        <w:rPr>
          <w:rFonts w:ascii="Times New Roman" w:hAnsi="Times New Roman"/>
          <w:color w:val="000000"/>
          <w:sz w:val="20"/>
        </w:rPr>
        <w:t xml:space="preserve">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would lose at least part, and perhaps all, of the patent protection on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trademarks and trade names are not adequately protected, then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future, potential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Potential Disclosure of Confidential Information</w:t>
      </w:r>
    </w:p>
    <w:p>
      <w:pPr>
        <w:pStyle w:val="TextBody"/>
        <w:bidi w:val="0"/>
        <w:spacing w:before="120" w:after="283"/>
        <w:jc w:val="both"/>
        <w:rPr>
          <w:rFonts w:ascii="Times New Roman" w:hAnsi="Times New Roman"/>
          <w:sz w:val="20"/>
        </w:rPr>
      </w:pPr>
      <w:r>
        <w:rPr>
          <w:rFonts w:ascii="Times New Roman" w:hAnsi="Times New Roman"/>
          <w:b/>
          <w:i/>
          <w:color w:val="000000"/>
          <w:sz w:val="20"/>
        </w:rPr>
        <w:t>Confidentiality agreements with employees and third parties may not prevent unauthorized disclosure of trade secrets and other proprietary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the protection afforded by patents, we seek to rely on trade secret protection and confidentiality agreements to protect our proprietary and confidential information. We also utilize proprietary processes for which it would be difficult to enforce patents. In addition, other elements of our product discovery and development processes involve proprietary know-how,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information, or technology that is not covered by patents. Trade secrets, however, may be difficult to protect. We seek to protect our proprietary processes, in part, by entering into confidentiality agreements with our employees, consultants, outside scientific advisors, contractors (including CMOs and CROs), and collaborators, and we also rely on federal and state laws requiring our directors, employees, consultants, contractors (including CMOs and CROs), and collaborators to protect our proprietary information. Although we use reasonable efforts to protect our trade secrets, our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 Our trade secrets and other confidential information of ours may also be exposed through cybersecurity attacks, ransomware attacks, and other hacking attempts directed at our information technology systems and those of our employees, consultants, outside scientific advisors, contractors, vendors and collaborators. For more information, see the risk factor section entitled “</w:t>
      </w:r>
      <w:r>
        <w:rPr>
          <w:rFonts w:ascii="Times New Roman" w:hAnsi="Times New Roman"/>
          <w:color w:val="000000"/>
          <w:sz w:val="20"/>
          <w:u w:val="single"/>
        </w:rPr>
        <w:t>Risks Related to Data and Privacy.</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claims that our employees, directors, consultants, or independent contractors have wrongfully used or disclosed confidential information of third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received confidential and proprietary information from third parties. In addition, we employ individuals who were previously employed at other biotechnology or pharmaceutical companies as well as academic research institutions. We may be subject to claims that we or our employees, directors, consultants, or independent contractors have inadvertently or otherwise used or disclosed confidential information of these third parties or our employees’ former employers. Litigation may be necessary to defend against these claims, which could result in money damages or a judicial order prohibiting the use of certain intellectual property. Even if we are successful in defending against these claims, litigation could result in substantial cost and be a distraction to our management and employees.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Risks Related to Past Financial Condition</w:t>
      </w:r>
    </w:p>
    <w:p>
      <w:pPr>
        <w:pStyle w:val="TextBody"/>
        <w:bidi w:val="0"/>
        <w:spacing w:before="120" w:after="283"/>
        <w:jc w:val="both"/>
        <w:rPr>
          <w:rFonts w:ascii="Times New Roman" w:hAnsi="Times New Roman"/>
          <w:sz w:val="20"/>
        </w:rPr>
      </w:pPr>
      <w:r>
        <w:rPr>
          <w:rFonts w:ascii="Times New Roman" w:hAnsi="Times New Roman"/>
          <w:b/>
          <w:i/>
          <w:color w:val="000000"/>
          <w:sz w:val="20"/>
        </w:rPr>
        <w:t>We have never generated any revenue from product sales and our ability to generate revenue from product sales and become profitable depends significantly on our success in a number of areas.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no products approved for commercial sale, have not generated any revenue from product sales, and do not anticipate generating any revenue from product sales until we have received regulatory approval for the commercial sale of one of our product candidates. Our ability to generate revenue, and achieve and retain profitability, depends significantly on our success in many areas,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regulatory approvals and marketing authorizations for our lead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market acceptance of our product candidates as viable treatment options;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launching and commercializing product candidates for which we obtain regulatory approvals and marketing authorizations, either directly or with a collaborator or distributor;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accurately assessing the size and addressability of potential patient populations;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maintaining, protecting and expanding our portfolio of intellectual property rights, including patents, trade secrets and know-how;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avoiding infringement of or obtaining licenses to any valid intellectual property owned or controlled by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or which may be necessary for us to develop, manufacture or commercialize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good relationships with our collaborators and licensors;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attracting, hiring and retaining qualified personnel;</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developing a sustainable and scalable manufacturing process for product candidates, including establishing and maintaining commercially viable supply relationships with third parties, such as CMOs, and potentially establishing our own manufacturing capabilities and infrastructure;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successfully completing research, preclinical and clinical development of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investing resources in developing commercial manufacturing and operational infrastructure prior to clinical evidence of safety and efficacy for a given product candidate;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selecting commercially viable product candidates and effective delivery methods.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one or more product candidates that we discover and develop are approved for commercial sale, we anticipate incurring significant costs associated with commercializing any approved product candidate and the timing of such costs may be out of our control. If we are not able to generate revenue from the sale of any approved products, we may never become profitable.</w:t>
      </w:r>
    </w:p>
    <w:p>
      <w:pPr>
        <w:pStyle w:val="TextBody"/>
        <w:bidi w:val="0"/>
        <w:spacing w:before="240" w:after="283"/>
        <w:jc w:val="both"/>
        <w:rPr>
          <w:rFonts w:ascii="Times New Roman" w:hAnsi="Times New Roman"/>
          <w:sz w:val="20"/>
        </w:rPr>
      </w:pPr>
      <w:r>
        <w:rPr>
          <w:rFonts w:ascii="Times New Roman" w:hAnsi="Times New Roman"/>
          <w:b/>
          <w:i/>
          <w:color w:val="000000"/>
          <w:sz w:val="20"/>
        </w:rPr>
        <w:t>Our operating history may make difficult the evaluation of our business’s success to date and assessment of our future viability.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clinical-stage company. We were founded and commenced operations in mid-2014. All of our product candidates are still in preclinical development or clinical trials. We have not yet demonstrated our ability to successfully complete any clinical trials, including large-scale, pivotal clinical trials, obtain marketing approvals, manufacture clinical and commercial scale therapeutics, or arrange for a third party to do so on our behalf, or conduct sales and marketing activities necessary for successful commercialization. Our ability to generate product revenue or profits, which we do not expect will occur for many years, if ever, will depend heavily on the successful development and eventual commercialization of our product candidates, which may never occur. We may never be able to develop or commercialize a marketable product.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Each of our programs may require additional discovery research and then preclinical and clinical development, regulatory approval in multiple jurisdictions, obtaining manufacturing supply, capacity and expertise, building of a commercial organization, substantial investment and significant marketing efforts before we generate any revenue from product sales. In addition, our product candidates must be approved for marketing by the FDA, or certain other foreign regulatory agencies, before we may commercialize any product.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operating history, particularly in light of the rapidly evolving genome editing field, may make it difficult to evaluate our current business and predict our future performance. Our relatively short history as an operating company makes any assessment of our future success or viability subject to significant uncertainty. We will encounter risks and difficulties frequently experienced by clinical-stage companies in rapidly evolving fields. If we do not address these risks successfully, our business will suffer.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incurred net losses in each period since our inception, anticipate that we will continue to incur net losses in the future and may never achieve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profitable and have incurred losses in each period since our inception. Our net loss was $202.9 million for the six months ended June 30, 2026. As of June 30, 2026, we had an accumulated deficit of $2,793.0 million. We expect these losses to increase as we continue to incur significant research and development and other expenses related to our ongoing operations, seek regulatory approvals for our future product candidates, scale-up manufacturing capabilities, maintain, expand and protect our intellectual property portfolio and hire additional personnel to support the development of our product candidates and to enhance our operational, financial and information management systems. We expect to finance our operations through a combination of collaboration revenue, equity or debt financings or other sources, which may include collaborations with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critical aspect of our strategy is to invest significantly in our technology to improve the efficacy and safety of potential product candidates that we discover. Even if we succeed in discovering, developing and ultimately commercializing one or more of these product candidates, we will continue to incur losses for the foreseeable future relating to our substantial research and development expenditures to develop our technologies.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Further, the net losses we incur may fluctuate significantly from quarter to quarter and year to year, such that a period-to-period comparison of our results of operations may not be a good indication of our future performance.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Future Financial Condition</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need to raise substantial additional funding to fund our operations. If we fail to obtain additional financing, we may be unable to complete the development and commercialization of any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operations have required substantial amounts of cash since inception, and we expect to spend substantial amounts of our financial resources on our discovery programs going forward and future development efforts. Before obtaining marketing approval from regulatory authorities for the sale of any product candidate, we must complete preclinical development, manufacture (or have manufactured) product candidates and components, and then conduct extensive clinical trials to demonstrate the safety and efficacy of any of our future product candidates in humans. Because preclinical and clinical testing is expensive and can take many years to complete, we may require additional funding to complete these undertakings. Further, if we are able to identify product candidates that are eventually approved, we will require significant additional amounts in order to launch and commercialize our product candidates. For the foreseeable future, we expect to continue to rely on additional financing to achieve our business objectives. Our future capital requirements will depend on and could increase significantly as a result of many factors, including the scope, progress, results and costs of drug discovery, preclinical development, laboratory testing and clinical trials for our current or future product candidates, including additional expenses attributable to adjusting our development plans (including any supply related matters).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require additional capital for the further development and commercialization of any product candidates and may need to raise additional funds sooner if we choose to expand more rapidly than we presently anticipate or due to other unanticipated factors. Disruptions in the financial markets in general have made equity and debt financing more difficult to obtain and may have a material adverse effect on our ability to meet our fundraising needs.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manufacture or commercialization of our product candidates or other research and development initiatives. Our collaboration and license agreements may also be terminated if we are unable to meet the payment or other obligations under the agreements. We could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 above events could significantly harm our business, prospects, financial condition and results of operations and cause the price of our common stock to decline. </w:t>
      </w:r>
    </w:p>
    <w:p>
      <w:pPr>
        <w:pStyle w:val="TextBody"/>
        <w:bidi w:val="0"/>
        <w:spacing w:before="240" w:after="283"/>
        <w:jc w:val="both"/>
        <w:rPr>
          <w:rFonts w:ascii="Times New Roman" w:hAnsi="Times New Roman"/>
          <w:sz w:val="20"/>
        </w:rPr>
      </w:pPr>
      <w:r>
        <w:rPr>
          <w:rFonts w:ascii="Times New Roman" w:hAnsi="Times New Roman"/>
          <w:b/>
          <w:i/>
          <w:color w:val="000000"/>
          <w:sz w:val="20"/>
        </w:rPr>
        <w:t>Raising additional capital may cause dilution to our stockholders and restrict our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need additional capital in the future to continue our planned operations. To the extent that we raise additional capital through the sale of equity or convertible debt securities, the ownership interest of our existing stockholders may be diluted, and the terms of these securities may include liquidation or other preferences that adversely affect the rights of our common stockholders. In addition, the valuation of public companies may require selling equity at lower prices to ensure appropriate capitalization.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240" w:after="283"/>
        <w:jc w:val="both"/>
        <w:rPr>
          <w:rFonts w:ascii="Times New Roman" w:hAnsi="Times New Roman"/>
          <w:sz w:val="20"/>
        </w:rPr>
      </w:pPr>
      <w:r>
        <w:rPr>
          <w:rFonts w:ascii="Times New Roman" w:hAnsi="Times New Roman"/>
          <w:b/>
          <w:i/>
          <w:color w:val="000000"/>
          <w:sz w:val="20"/>
        </w:rPr>
        <w:t>Unfavorable national or global economic conditions or political developments could adversely affect our business, financial condition or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results of operations could be adversely affected by general conditions in the national or global economy and financial markets. For example, governmental statements, actions or policies, political unrest and global financial crises can cause extreme volatility and disruptions in the capital and credit markets. A severe or prolonged economic downturn, political unrest or additional global financial crises, could result in a variety of risks to our business, including weakened demand for our products, if approved, or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further political developments and financial market conditions could adversely impact our business.</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global economy has been impacted by geopolitical tensions. The U.S. and other governments have imposed, and propose to impose additional, export controls and tariffs on certain products, and financial and economic sanctions on certain industry sectors and parties. These geopolitical tensions could result in, among other things, cyber-attacks, supply chain disruptions, higher energy and other commodity costs, lower consumer demand, and changes to foreign exchange rates and financial markets, and tariffs and trade restrictions may result in increased production costs and product pricing, further supply chain disruptions, limited access to end markets, lower profitability, and uncertainty related to planning long-term investments and strategies, and may have other competitive effects. Any of the foregoing could have a material adverse effect on our business, financial condition, and results of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Manufacturing and Supply</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In vivo </w:t>
      </w:r>
      <w:r>
        <w:rPr>
          <w:rFonts w:ascii="Times New Roman" w:hAnsi="Times New Roman"/>
          <w:b/>
          <w:i/>
          <w:color w:val="000000"/>
          <w:sz w:val="20"/>
        </w:rPr>
        <w:t xml:space="preserve">genome editing products and </w:t>
      </w:r>
      <w:r>
        <w:rPr>
          <w:rFonts w:ascii="Times New Roman" w:hAnsi="Times New Roman"/>
          <w:b/>
          <w:color w:val="000000"/>
          <w:sz w:val="20"/>
        </w:rPr>
        <w:t xml:space="preserve">ex vivo </w:t>
      </w:r>
      <w:r>
        <w:rPr>
          <w:rFonts w:ascii="Times New Roman" w:hAnsi="Times New Roman"/>
          <w:b/>
          <w:i/>
          <w:color w:val="000000"/>
          <w:sz w:val="20"/>
        </w:rPr>
        <w:t>engineered cell therapies based on CRISPR genome editing technology are novel, complex and difficult to manufacture.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manufacturing processes used to produce CRISPR-based </w:t>
      </w:r>
      <w:r>
        <w:rPr>
          <w:rFonts w:ascii="Times New Roman" w:hAnsi="Times New Roman"/>
          <w:i/>
          <w:color w:val="000000"/>
          <w:sz w:val="20"/>
        </w:rPr>
        <w:t xml:space="preserve">in vivo </w:t>
      </w:r>
      <w:r>
        <w:rPr>
          <w:rFonts w:ascii="Times New Roman" w:hAnsi="Times New Roman"/>
          <w:color w:val="000000"/>
          <w:sz w:val="20"/>
        </w:rPr>
        <w:t xml:space="preserve">gene editing product candidates and </w:t>
      </w:r>
      <w:r>
        <w:rPr>
          <w:rFonts w:ascii="Times New Roman" w:hAnsi="Times New Roman"/>
          <w:i/>
          <w:color w:val="000000"/>
          <w:sz w:val="20"/>
        </w:rPr>
        <w:t xml:space="preserve">ex vivo </w:t>
      </w:r>
      <w:r>
        <w:rPr>
          <w:rFonts w:ascii="Times New Roman" w:hAnsi="Times New Roman"/>
          <w:color w:val="000000"/>
          <w:sz w:val="20"/>
        </w:rPr>
        <w:t xml:space="preserve">engineered cell therapy product candidates are novel and complex. In addition, our manufacturing processes may require components that are difficult to obtain or manufacture at the necessary quantities and in accordance with regulatory requirements. Several factors could cause production interruptions, including equipment malfunctions; facility unavailability or contamination; raw material cost, shortages or contamination; natural disasters, such as pandemics or other outbreaks or similar public health crises; disruption in utility services; human error; insufficient personnel; inability to meet legal or regulatory requirements; or disruptions in the operations of our suppliers.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our product candidates are regulated as biologics, their processing steps will be more complex than those of most small molecule drugs. Moreover, unlike small molecules, the physical and chemical properties of a complex product such as ours generally cannot be fully characterized. As a result, assays of the finished product or relevant components may not be sufficient to ensure that the product will perform in the intended manner. For this reason, we will employ multiple steps to control the manufacturing process to ensure that the process results in product candidates that meet their specifications, but complications at any one step could adversely impact our manufacturing of products. Further, we may encounter problems achieving adequate quantities and quality of clinical (or, if approved, commercial) grade materials that meet the FDA or other relevant regulatory agency’s applicable standards or our specifications with consistent and acceptable production yields and costs. Manufacturing process irregularities, even minor deviations from the normal process, could result in product defects or manufacturing issues that cause lot failures, product recalls, product liability claims and litigation, insufficient inventory or production interruption. In addition, product manufacturing and supply could be delayed if the FDA and other regulatory authorities require us to submit lot samples, testing results and protocols, or if they require that we not distribute a lot until they authorize the product’s release. </w:t>
      </w:r>
    </w:p>
    <w:p>
      <w:pPr>
        <w:pStyle w:val="TextBody"/>
        <w:bidi w:val="0"/>
        <w:spacing w:before="240" w:after="283"/>
        <w:jc w:val="both"/>
        <w:rPr>
          <w:rFonts w:ascii="Times New Roman" w:hAnsi="Times New Roman"/>
          <w:sz w:val="20"/>
        </w:rPr>
      </w:pPr>
      <w:r>
        <w:rPr>
          <w:rFonts w:ascii="Times New Roman" w:hAnsi="Times New Roman"/>
          <w:b/>
          <w:i/>
          <w:color w:val="000000"/>
          <w:sz w:val="20"/>
        </w:rPr>
        <w:t>We could experience manufacturing problems that result in delays in the development, approval or commercialization of our product candidates or otherwise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our product candidates may require components that are unavailable or difficult to acquire or manufacture at the necessary scale and in compliance with regulatory requirements to support our clinical trials or, if approved, commercial efforts. We expect to continue to rely on third party CMOs to manufacture these components and the final product candidates for the foreseeable future. We may not have full control of these CMOs, and they may prioritize other customers or be unable to provide us with enough manufacturing capacity to meet our objectives. Further, we may rely on CMOs outside the U.S. for certain components of our product candidates and may be subject to importation regulations that may affect our ability to manufacture or increase the cost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may encounter problems developing our own manufacturing capabilities, including hiring and retaining the experienced scientific, engineering, quality and manufacturing personnel needed to operate or supervise the necessary manufacturing processes. These issues could result in delays in production or difficulties in maintaining compliance with applicable regulatory requirements.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manufacturing and supply issues or delays could restrict our ability to meet clinical or market demand for our product candidates or products and be costly to us and otherwise harm our business, financial condition, results of operations and prospects. Further, any problems in manufacturing processes or facilities could make us a less attractive collaborator for potential partners, including larger pharmaceutical companies and academic research institutions, which could limit our access to additional attractive development programs.</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Risks Related to Obtaining Regulatory Approval</w:t>
      </w:r>
    </w:p>
    <w:p>
      <w:pPr>
        <w:pStyle w:val="TextBody"/>
        <w:bidi w:val="0"/>
        <w:spacing w:before="120" w:after="283"/>
        <w:jc w:val="both"/>
        <w:rPr>
          <w:rFonts w:ascii="Times New Roman" w:hAnsi="Times New Roman"/>
          <w:sz w:val="20"/>
        </w:rPr>
      </w:pPr>
      <w:r>
        <w:rPr>
          <w:rFonts w:ascii="Times New Roman" w:hAnsi="Times New Roman"/>
          <w:b/>
          <w:i/>
          <w:color w:val="000000"/>
          <w:sz w:val="20"/>
        </w:rPr>
        <w:t>While the regulatory framework exists for approval of gene therapy products, including genome editing products, the limited precedent for genome editing products make the regulatory approval process potentially more unpredictable and we may experience significant delays in the clinical development and regulatory approval, if any,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research, testing, manufacturing, labeling, approval, selling, import, export, marketing and distribution of drug products, including genome editing therapeutics and engineered cell therapies, are subject to extensive regulation by the FDA in the U.S. and other regulatory authorities in other jurisdictions. For example, we are not permitted to market any drug or biological product, including </w:t>
      </w:r>
      <w:r>
        <w:rPr>
          <w:rFonts w:ascii="Times New Roman" w:hAnsi="Times New Roman"/>
          <w:i/>
          <w:color w:val="000000"/>
          <w:sz w:val="20"/>
        </w:rPr>
        <w:t xml:space="preserve">in vivo </w:t>
      </w:r>
      <w:r>
        <w:rPr>
          <w:rFonts w:ascii="Times New Roman" w:hAnsi="Times New Roman"/>
          <w:color w:val="000000"/>
          <w:sz w:val="20"/>
        </w:rPr>
        <w:t xml:space="preserve">products or engineered cell therapies, until we receive regulatory approval from the relevant regulatory agency, such as the FDA in the U.S. or European Commission in the EU. We expect the novel nature of our product candidates to create challenges or raise questions from regulatory agencies in obtaining regulatory approval. For example, in the U.S., the FDA has not approved any </w:t>
      </w:r>
      <w:r>
        <w:rPr>
          <w:rFonts w:ascii="Times New Roman" w:hAnsi="Times New Roman"/>
          <w:i/>
          <w:color w:val="000000"/>
          <w:sz w:val="20"/>
        </w:rPr>
        <w:t xml:space="preserve">in vivo </w:t>
      </w:r>
      <w:r>
        <w:rPr>
          <w:rFonts w:ascii="Times New Roman" w:hAnsi="Times New Roman"/>
          <w:color w:val="000000"/>
          <w:sz w:val="20"/>
        </w:rPr>
        <w:t xml:space="preserve">gene editing-based therapeutic and has only approved one </w:t>
      </w:r>
      <w:r>
        <w:rPr>
          <w:rFonts w:ascii="Times New Roman" w:hAnsi="Times New Roman"/>
          <w:i/>
          <w:color w:val="000000"/>
          <w:sz w:val="20"/>
        </w:rPr>
        <w:t>ex vivo</w:t>
      </w:r>
      <w:r>
        <w:rPr>
          <w:rFonts w:ascii="Times New Roman" w:hAnsi="Times New Roman"/>
          <w:color w:val="000000"/>
          <w:sz w:val="20"/>
        </w:rPr>
        <w:t xml:space="preserve"> CRISPR/Cas9 genome editing therapy for human therapeutic use. The FDA may also require a panel of experts, referred to as an Advisory Committee, to deliberate on the adequacy of the safety and efficacy data to support approval. The Advisory Committee’s opinion, although not binding, may significantly impact our ability to obtain approval of our product candidates. Moreover, while we are not aware of any specific genetic or biomarker tests for which regulatory approval would be necessary to advance any of our product candidates to clinical trials or commercialization, regulatory agencies could require the development and approval of such tests. Accordingly, the regulatory approval pathway for such product candidates may be uncertain, complex, expensive and lengthy, as well as different in each jurisdiction, and approval may not be obtained in any, some or all jurisdictions.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non-regulatory entities may impact the regulatory agencies’ and ethics committees’ evaluation and approval decision regarding our product candidates. For example, the World Health Organization (“WHO”) has established or recommended standards and registries for research using genome editing technologies. We cannot predict the impact of the WHO’s current and future recommendations, or any policies or actions that ethics committees or regulatory agencies may take in response to such recommendations, on our research, clinical and business plans and results.</w:t>
      </w:r>
    </w:p>
    <w:p>
      <w:pPr>
        <w:pStyle w:val="TextBody"/>
        <w:bidi w:val="0"/>
        <w:spacing w:before="240" w:after="283"/>
        <w:jc w:val="both"/>
        <w:rPr>
          <w:rFonts w:ascii="Times New Roman" w:hAnsi="Times New Roman"/>
          <w:sz w:val="20"/>
        </w:rPr>
      </w:pPr>
      <w:r>
        <w:rPr>
          <w:rFonts w:ascii="Times New Roman" w:hAnsi="Times New Roman"/>
          <w:color w:val="000000"/>
          <w:sz w:val="20"/>
        </w:rPr>
        <w:t>Patient enrollment is a significant factor in the timing of clinical trials and is affected by many factors, including willingness of physicians to use an experimental therapy, the availability of existing treatments, the trial’s geographic locations and the number of patients in each geographic location. In addition, our ability to enroll and dose patients may be delayed by the relevant regulatory authority, as well as the IRB or another ethics committee (whether local or national). For example, as set forth in the National Institutes of Health (“NIH”) Guidelines for Research Involving Recombinant or Synthetic Nucleic Acid Molecules (“NIH Guidelines”), gene therapy clinical trials are also subject to review and oversight by an institutional biosafety committee (“IBC”), a local institutional committee that reviews and oversees research utilizing recombinant or synthetic nucleic acid molecules at that institution. Before a clinical trial can begin at any institution, that institution’s IRB and its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Further, a clinical trial may be suspended or terminated by us, the relevant IRBs or ethics committees of the trial, or the FDA or other regulatory authorities, or upon a recommendation of the trial’s DMC, due to a number of factors, including failure to conduct the clinical trial in accordance with regulatory requirements or our clinical protocols, unforeseen safety issues or adverse side effects, failure to demonstrate a benefit from using a product candidate, changes in governmental regulations or administrative actions or lack of adequate funding to continue the clinical trial. For more information, see the above risk factor entitled “</w:t>
      </w:r>
      <w:r>
        <w:rPr>
          <w:rFonts w:ascii="Times New Roman" w:hAnsi="Times New Roman"/>
          <w:b/>
          <w:i/>
          <w:color w:val="000000"/>
          <w:sz w:val="20"/>
        </w:rPr>
        <w:t>We may incur additional costs or experience delays in completing, or ultimately be unable to complete, the development and commercialization of any product candidates</w:t>
      </w:r>
      <w:r>
        <w:rPr>
          <w:rFonts w:ascii="Times New Roman" w:hAnsi="Times New Roman"/>
          <w:b/>
          <w:color w:val="000000"/>
          <w:sz w:val="20"/>
        </w:rPr>
        <w:t xml:space="preserve">.” </w:t>
      </w:r>
      <w:r>
        <w:rPr>
          <w:rFonts w:ascii="Times New Roman" w:hAnsi="Times New Roman"/>
          <w:color w:val="000000"/>
          <w:sz w:val="20"/>
        </w:rPr>
        <w:t>If we experience termination of, or delays in the completion of, any clinical trial of product candidates, the commercial prospects for such product candidates will be harmed, and our ability to generate product revenue will be impaired. In addition, any delays in completing any clinical trials will increase our costs, slow down our product development and approval process and jeopardize our ability to commence product sales and generate revenue.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currently conducting and may in the future conduct other clinical trials for our product candidates outside the U.S., and the FDA and comparable foreign regulatory authorities may not accept data from such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currently conducting our Phase 3 clinical trials of nex-z and for lonvo-z, and may in the future conduct clinical trials for our other product candidates, outside the U.S. The acceptance of data from clinical trials conducted outside the U.S. or another jurisdiction by the FDA or comparable foreign regulatory authority may be subject to certain conditions or may not be accepted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all. The FDA will generally not consider the data from a foreign clinical trial not conducted under an IND unless (i) the trial was well-designed and well-conducted in accordance with good clinical practice (“GCP”) requirements, including requirements for the design, conduct, performance, monitoring, auditing, recording, analysis, and reporting of clinical trials in a way that provides assurance that the data and reported results are credible and accurate and that the rights, safety, and well-being of trial subjects are protected, and (ii) the FDA is able to validate the data from the trial through an onsite inspection, if necessary.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received orphan drug designation for nex-z and lonvo-z and may in the future seek orphan drug designation for some of our other product candidates, but we may be unable to obtain such designations or to maintain the benefits associated with orphan drug status, including market exclusivity, which may cause our revenue, if any, to be reduced.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in some jurisdictions, including the U.S. and Europe, may in response to a request from the sponsor designate products for relatively small patient populations as orphan drugs. Under the Orphan Drug Act, the FDA may grant orphan drug designation to a product intended to treat a rare disease or condition, defined as a disease or condition with a patient population of fewer than 200,000 in the U.S., or a patient population of 200,000 or more in the U.S. when there is no reasonable expectation that the cost of developing and making available the product in the U.S. will be recovered from sales in the U.S. for that product. Orphan drug designation must be requested before submitting a BLA. In the U.S., orphan drug designation entitles a party to financial incentives such as opportunities for grant funding towards clinical trial costs, tax advantages and user-fee waivers. After the FDA grants orphan drug designation, the generic identity of the product and its potential orphan use are disclosed publicly by the FDA. In the EU,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the condition. Orphan designation does not convey any advantage in, or shorten the duration of, the regulatory review and approval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Generally, if a product with an orphan drug designation subsequently receives the first marketing approval for the indication for which it has such designation, the product is entitled to a period of marketing exclusivity, which precludes the approval of another marketing application for the same drug for the same indication for that time period. The applicable period is seven years in the U.S. and ten years in the EU (which can be extended to 12 years if the sponsor complies with an agreed-upon Pediatric Investigation Plan). Orphan drug exclusivity may be lost if the FDA or the EMA determines that the request for designation was materially defective or if the manufacturer is unable to assure sufficient quantity of the drug to meet the needs of patients with the rare disease or condition. In addition, the FDA can subsequently approve a marketing application for the same drug, or a product with the same active moiety, for treatment of the same disease or condition if it concludes that the later drug is clinically superior in that it is shown to be safer, more effective or makes a major contribution to patient care. Similarly, the European Commission (“EC”) may grant a marketing authorization to a similar medicinal product for the same indication as an authorized orphan product at any time if it is established that the second product, although similar, is safer, more effective or otherwise clinically superior to the authorized product. The FDA and EC also can approve a different drug for the same orphan indication, or the same drug for a different indication, during the orphan exclusivity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received orphan drug designation from the FDA for nex-z for the treatment of ATTR amyloidosis, and from the FDA and EC for lonvo-z for the treatment of HAE. We may seek orphan drug designation for some of our other product candidates in orphan indications in which there is a medically plausible basis for the use of these product candidates. Even where we obtain orphan drug designation, exclusive marketing rights in the U.S.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 In addition, although we intend to seek orphan drug designation for other product candidates, we may never receive such designations.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may reevaluate the Orphan Drug Act and its regulations and policies. We do not know if, when, or how the FDA may change the orphan drug regulations and policies in the future, and it is uncertain how any changes might affect our business. In addition, proposed reforms to EU pharmaceutical legislation have been provisionally agreed between the Council of the European Union and the European Parliament that, if implemented, could reduce the current 10-year market exclusivity period in the EU for certain orphan medicines. Depending on what changes the FDA and the EC may make to their orphan drug regulations and policies, our business could be adversely impacted.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received regenerative medicine advanced therapy (“RMAT”) designation by the FDA for nex-z for the treatment of ATTRv-PN and for lonvo-z for the treatment of HAE, and may in the future seek such designation for some of our other product candidates, but such designation may not actually lead to a faster development or regulatory review or approval process and we may be unable to obtain or maintain the benefits associated with such designation.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received the RMAT designation from the FDA for nex-z for the treatment of ATTRv-PN, and for lonvo-z for the treatment of HAE. A product candidate is eligible for RMAT designation if: (1) it is a cell therapy, therapeutic tissue engineering product, human cell or tissue product, or a combination product using any such therapies or products; (2) it is intended to treat, modify, reverse, or cure a serious or life-threatening disease or condition; and (3) there is preliminary clinical evidence that indicates that the product candidate has the potential to address unmet medical needs for such disease or condition. This program is intended to facilitate efficient development and expedite review of RMATs. A BLA for a product candidate with RMAT designation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product candidate that has RMAT designation and is subsequently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RMAT designation, the FDA may disagree and instead determine not to grant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qualifies for RMAT designation, the FDA may later decide that the product candidate no longer meets the conditions for qualification.</w:t>
      </w:r>
    </w:p>
    <w:p>
      <w:pPr>
        <w:pStyle w:val="TextBody"/>
        <w:bidi w:val="0"/>
        <w:spacing w:before="240" w:after="283"/>
        <w:jc w:val="both"/>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product candidates in other jurisdictions.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approves a product candidate, comparable regulatory authorities in foreign jurisdictions must also authorize the marketing and sale of the product candidate in those countries. Approval procedures vary among jurisdictions and can involve requirements and review periods different from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sold in that jurisdiction. In some cases, the price that we are allowed to charge for our products is also subject to approval or to other legal restrictions.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foreign regulatory approvals and compliance with foreign regulatory requirements could result in significant delays, difficulties and costs for us and could delay or prevent the introduction of our products in certain countries. If we fail to comply with the relevant regulatory requirements or to receive applicable marketing approvals, our target markets will be reduced and our ability to realize the full market potential of our product candidates will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Existing regulatory policies have begun to change, and additional government regulations may be enacted that could prevent, limit or delay regulatory approval of our product candidates.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June 2024, the U.S. Supreme Court overruled the </w:t>
      </w:r>
      <w:r>
        <w:rPr>
          <w:rFonts w:ascii="Times New Roman" w:hAnsi="Times New Roman"/>
          <w:i/>
          <w:color w:val="000000"/>
          <w:sz w:val="20"/>
        </w:rPr>
        <w:t>Chevron</w:t>
      </w:r>
      <w:r>
        <w:rPr>
          <w:rFonts w:ascii="Times New Roman" w:hAnsi="Times New Roman"/>
          <w:color w:val="000000"/>
          <w:sz w:val="20"/>
        </w:rPr>
        <w:t xml:space="preserve"> doctrine, which gave deference to regulatory agencies’ statutory interpretations in litigation against federal government agencies, such as the FDA and Centers for Medicare &amp; Medicaid Services (“CMS”), agencies within the U.S. Department of Health and Human Services (“HHS”), where the law is ambiguous. This decision may result in more lawsuits against the FDA to challenge longstanding decisions and policies of the FDA, which could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In addition, the leadership, personnel, policies, and/or priorities of government departments and agencies responsible for establishing and operating programs and regulations related to pharmaceutical products, such as HHS, FDA and CMS, began to change in 2025. New leadership, personnel, policies, priorities, and/or regulations have affected our industry and may affect our product candidates. For example, FDA or CMS policies and practices concerning gene and cell therapies may change in a way that disparately impacts our product candidates, such as reducing the staff of these agencies or not retaining experienced staff at these agencies who have expertise relevant to our industry and products, and/or applying evolving standards for regulatory decisions.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Ongoing Regulatory Obligations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Even if we receive regulatory approval of any product candidates or therapies,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any of our product candidates are approved, they may be subject to ongoing regulatory requirements for manufacturing, labeling, packaging, distribution, storage, advertising, promotion, sampling, record-keeping, and submission of safety and efficacy data, and other post-market information and potential obligations (such as post-marketing studies), including both federal and state requirements in the U.S. and requirements of comparable foreign regulatory authorities. In addition, we will be subject to continued compliance with current good manufacturing practice (“cGMP”) and GCP, and in certain cases, current good tissue practice (“cGTP”) requirements for any clinical trials that we conduct post-approval.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FDA and comparable foreign regulatory authority requirements, as applicable, including ensuring that quality control and manufacturing procedures conform to cGMP and, in certain cases, cGTP requirements, and applicable product tracking and tracing requirements. As such, we and our CMOs will be subject to continual review and inspections to assess compliance with cGMP and adherence to commitments made in any BLA, other marketing applications,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For example, the FDA or other regulatory agencies may also require a REMS or similar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their respective legal or regulatory requirements including submissions of safety and other post-marketing information and reports and registration.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or other regulatory agencies may seek to impose consent decrees, withdraw approval or prohibit the export or import of a product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 party manufacturers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restrictions on the marketing or manufacturing of our products, withdrawal of the product from clinical trials or the market, or voluntary or mandatory product recalls;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delays and supply disruptions until issues identified by regulatory inspections are remediated;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fines, warning letters or holds on clinical trials;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by the FDA or the relevant regulatory agency to approve pending applications or supplements to approved applications filed by us or suspension or revocation of license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our product candidates;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strictly regulates marketing, labeling, advertising, and promotion of products that are placed on the U.S. market, and the relevant foreign regulatory agencies do the same in their respective jurisdictions. The FDA and other agencies actively enforce the laws and regulations prohibiting the promotion of off-label uses and a company that is found to have improperly promoted off-label uses may be subject to significant liability.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FDA’s policies may change and additional government regulations may be enacted that could prevent, limit or delay regulatory approval of our product candidates. In addition, as discussed above, the U.S. Supreme Court’s June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or our collaborators are slow or unable to adapt to changes in existing requirements or the adoption of new requirements or policies, or if we or our collaborators are not able to maintain regulatory compliance, we or our collaborators may lose any marketing approval that we or our collaborators may have obtained, which would adversely affect our business, prospects and ability to achieve or sustain profitability.</w:t>
      </w:r>
    </w:p>
    <w:p>
      <w:pPr>
        <w:pStyle w:val="TextBody"/>
        <w:bidi w:val="0"/>
        <w:spacing w:before="240" w:after="283"/>
        <w:jc w:val="both"/>
        <w:rPr>
          <w:rFonts w:ascii="Times New Roman" w:hAnsi="Times New Roman"/>
          <w:sz w:val="20"/>
        </w:rPr>
      </w:pPr>
      <w:r>
        <w:rPr>
          <w:rFonts w:ascii="Times New Roman" w:hAnsi="Times New Roman"/>
          <w:b/>
          <w:i/>
          <w:color w:val="000000"/>
          <w:sz w:val="20"/>
        </w:rPr>
        <w:t>Our employees, independent contractors, clinical investigators, CMOs, CROs, consultants, collaborators, commercial partners and vendors may engage in misconduct or other improper activities, including noncompliance with regulatory standards and requirements, which could have a material adverse effect on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exposed to the risk of non-compliance, fraud, misconduct or other illegal activity by our employees, independent contractors, clinical investigators, CMOs, CROs, consultants, collaborators, commercial partners and vendors. Misconduct by these parties could include intentional, reckless and/or negligent conduct that fails to: comply with federal and state laws and those of other applicable jurisdictions; provide true, complete and accurate information to the FDA and other regulatory bodies in the U.S. or outside the U.S.; comply with manufacturing standards; comply with federal and state data privacy, security, fraud and abuse and other healthcare laws and regulations in the U.S. and similar foreign privacy or fraudulent misconduct laws; or report financial information or data accurately; or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clinical investigators and research patients, as well as proposed and future sales, marketing and education programs. In particular, the promotion, sales and marketing of healthcare products and services, as well as certain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including promotion and marketing of off-label uses of our products, structuring and commission(s), certain customer incentive programs and other business arrangements generally.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fines or other sanctions.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many of our existing or potential collaborators, clinical investigators, CMOs, CROs, consultants or vendors are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 federal and state consumer protection laws (e.g., Section 5 of the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(“HIPAA”), as amended by the Health Information Technology for Economic and Clinical Health Act of 2009 (“HITECH”), or by comparable laws in other jurisdictions. Depending on the facts and circumstances, we could be subject to civil, criminal, and administrative penalties if we knowingly obtain, use, or disclose individually identifiable health information maintained by a covered entity in a manner that is not authorized or permitted by laws or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with U.S., both state and federal,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existing or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spacing w:before="240" w:after="283"/>
        <w:jc w:val="both"/>
        <w:rPr>
          <w:rFonts w:ascii="Times New Roman" w:hAnsi="Times New Roman"/>
          <w:sz w:val="20"/>
        </w:rPr>
      </w:pPr>
      <w:r>
        <w:rPr>
          <w:rFonts w:ascii="Times New Roman" w:hAnsi="Times New Roman"/>
          <w:b/>
          <w:i/>
          <w:color w:val="000000"/>
          <w:sz w:val="20"/>
        </w:rPr>
        <w:t>If we, or our collaborators, clinical investigators, CMOs, CROs, consultants or vendors, fail to comply with environmental, health and safety, and laboratory animal welfare laws and regulations, we could become subject to fines or penalties or incur costs that could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many of our existing or potential collaborators, clinical investigators, CMOs, CROs, consultants or vendors are subject to numerous federal, state and local environmental, health and safety, and laboratory animal welfare laws and regulations. These legal requirements include those governing laboratory procedures and the handling, use, storage, treatment and disposal of hazardous materials and wastes, as well as those which regulate the care and use of animals in research. Our operations, and those of our collaborators, clinical investigators, CMOs, CROs, consultants or vendors, acting on our behalf, may involve research using research animals and the use of hazardous and flammable materials, including chemicals and biological materials. Our operations, and those of our collaborators, clinical investigators, CMOs, CROs, consultants or vendors, acting on our behalf, also may produce hazardous waste products. We generally anticipate contracting with third parties for the disposal of these materials and waste.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maintain insurance for environmental liability or toxic tort claims that may be asserted against us in connection with our storage or disposal of biological, hazardous or radioactive materials.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and laboratory animal welfare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240" w:after="283"/>
        <w:jc w:val="both"/>
        <w:rPr>
          <w:rFonts w:ascii="Times New Roman" w:hAnsi="Times New Roman"/>
          <w:sz w:val="20"/>
        </w:rPr>
      </w:pPr>
      <w:r>
        <w:rPr>
          <w:rFonts w:ascii="Times New Roman" w:hAnsi="Times New Roman"/>
          <w:b/>
          <w:i/>
          <w:color w:val="000000"/>
          <w:sz w:val="20"/>
        </w:rPr>
        <w:t>Failure to comply with labor and employment laws and regulations could subject us to legal liability and costs, including fines or penalties, as well as reputational damage that could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numerous federal, state and local laws and regulations relating to the recruiting, hiring, compensation and treatment of employees and contractors. These laws and regulations cover financial compensation (including wage and hour standards), benefits (including insurance and 401(k) plans), discrimination, workplace safety and health, and workers’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Commonwealth of Massachusetts, where most of our employees are based, also has laws that expand on federal laws or create additional rights for employees or obligations for employers. For example, in July 2018, the Massachusetts Equal Pay Act went into effect, which added protections employers must comply with regarding pay equity for “comparable work.” In addition,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October 2025, the Frances Perkins Workplace Equity Act became effective in Massachusetts, requiring disclosure of the pay range for a particular job under certain circumstances, including job postings, promotions, or when an employee requests. There is currently uncertainty regarding the exact scope of these new legal limits and such uncertainty may remain for the foreseeable future. We may face increased employment and legal costs to ensure we are complying with these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the Massachusetts non-compete law limits the terms under which employers can enter into non-competition agreements with employees. Further, other jurisdictions in which our employees may work limit enforcement of non-competition agreements. Additionally, in California non-competition agreements with employees are generally unenforceable after termination of employment and Illinois contains strict laws affecting the enforcement of non-competition agreements. These non-compete laws may negatively impact our ability to prevent employees from working with direct or indirect competitors in the future and may affect our ability to retain key talent in a competitive market.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failure to comply with these and other related laws could expose us to civil and, in some cases, criminal liability, including fines and penalties. Further, government or employee claims that we have violated any of these laws, even if ultimately disproven, could result in increased expense and management distraction, as well as have an adverse reputational impact on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Inadequate funding for, substantial changes in leadership, personnel, policies or priorities of, or other disruptions at the FDA and other government agencies in or outside the U.S. could hinder their ability to hire, retain, or deploy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the FDA and other similar regulatory agencies to review and approve new products can be affected by a variety of factors, including government budget and funding levels, ability to hire and retain key personnel and authorization to accept the payment of user fees, reallocation of resources to address unique or new healthcare issues (or other future public health concerns), and statutory, regulatory, and policy changes. For example, in 2025, the U.S. government issued executive orders and implemented reductions in force that adversely impacted FDA staffing and resources. In addition, government funding of other government agencies on which our operations may rely, including those that fund research and development activities, is subject to the political process, which is inherently fluid and unpredictable. For example, over the last several years, the U.S. government has shut down several times and during such times, certain regulatory agencies, such as the FDA and the SEC, in some instances have had to furlough government employees and stop certain critical activities.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prolonged government shutdown in the U.S. or other jurisdictions where we plan to conduct our clinical trials, manufacturing, or other operations, or substantial changes in leadership, personnel, policies or priorities could significantly impact the ability of the relevant agency, such as the FDA, to timely review and process our regulatory submissions, which could have a material adverse effect on our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Risks Related to Our Reliance on Collaboration Partners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technological advancements and any potential for revenue may be derived in part from our collaborations, including, for example, with Regeneron Pharmaceuticals, Inc. (“Regeneron”), and if the collaboration or co-development agreements related to a material collaboration were to be terminated or materially altered in an adverse manner, our business, financial condition, results of operations and prospects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strategic collaborations to advance our technology and co-develop products that we plan to co-commercialize. If our collaboration partner in a material collaboration fails to develop, obtain regulatory approval for or ultimately commercialize any product candidate from the development programs governed by the respective collaboration agreements, including, e.g., a co-development or co-commercialization agreement, or breaches or terminates our collaboration with it, our business, financial condition, results of operations and prospects could be harmed. In addition, any material alteration, in an adverse manner, of any material collaboration agreement, or dispute or litigation proceedings we may have related to a material collaboration in the future could delay development programs, create uncertainty as to ownership of or access to intellectual property rights, distract management from other business activities and generate substantial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described within Note 7, “Collaborations and Other Arrangements” of this Quarterly Report on Form 10-Q, we have entered into co-development and co-promotion arrangements with Regeneron. Regeneron may change its strategic focus or pursue alternative technologies in a manner that results in reduced, delayed or no revenue to us under these arrangements. For example,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Regeneron has a variety of marketed products and product candidates either by itself or with other companies, including some of our competitors. In addition, the corporate objectives of our collaborators, such as Regeneron, may not be consistent with our best interests. Regeneron may change its position regarding its participation and funding of our joint activities, which may impact our ability to successfully pursue those programs.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existing and future collaborations will be important to our business. If we are unable to maintain any of these collaborations, or if these collaborations are not successful, our business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limited capabilities for product development and do not yet have any capability for sales, marketing or distribution. Accordingly, we have entered, and plan to enter, into collaborations with other companies, including our therapeutic-focused collaboration agreements with Regeneron, which we believe can provide such capabilities. These current and future therapeutic-focused collaborations could provide us with important technologies and/or funding for our programs and technology. Our existing and future therapeutic collaborations may have a number of risks, including that collaborators: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have significant discretion in determining the efforts and resources that they will apply;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not perform their obligations as expected;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may dispute the amounts of payments owed;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not pursue development and commercialization of any product candidates that achieve regulatory approval or may elect not to continue or renew development or commercialization programs or license arrangements based on clinical trial results, changes in their strategic focus or available funding, or external factors, such as a strategic transaction that may divert resources or create competing priorities;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delay, insufficiently fund, stop, initiate new or repeat clinical trials, reformulate a product candidate for clinical testing, or abandon a product candidate;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could develop independently, or with third parties, products that compete directly or indirectly with our products and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view product candidates discovered in our collaborations as competitive with their own product candidates or products, which may cause collaborators to cease to devote resources to the development or commercialization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may dispute ownership or rights in jointly developed technologies or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may fail to comply with applicable legal and regulatory requirements regarding the development, manufacture, sale, distribution or marketing of a product candidate or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 respect to sales, marketing, manufacturing and distribution rights to our product candidates, may not commit sufficient resources to the product’s sale, marketing, manufacturing and distribution;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disagree with us about material issues, including proprietary rights, contract interpretation, payment obligations or the preferred course of discovery, development, sales or marketing, which might cause delays or terminations of the research, development or commercialization of product candidates, lead to additional and burdensome responsibilities for us with respect to product candidates, or result in litigation or arbitration, any of which would be time-consuming and expensive;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not properly maintain or defend their or our relevant intellectual property rights or may use our proprietary information or sublicensed intellectual property rights in such a way as to invite litigation that could jeopardize or invalidate our intellectual property or proprietary information or expose us to potential litigation and liability;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infringe the intellectual property rights of third parties, which may expose us to litigation and potential liability;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could become involved in a business combination or cessation that could cause them to deemphasize or terminate the development or commercialization of any product candidate licensed to it by us;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terminate our collaborations, which could require us to raise additional capital to develop or commercialize the applicable product candidates, or lose access to the collaborator’s intellectual property.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therapeutic collaborations do not result in the successful discovery, development and commercialization of products or if a collaborator terminates its agreement with us, we may not receive any future research funding or milestone or royalty payments under the collaboration. All of the risks relating to product discovery, development, regulatory approval and commercialization summarized and described in this report also apply to the activities of our therapeutic collaborators.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if one of our collaborators terminates its agreement with us, we may find it more difficult to attract new collaborators and our perception in the business and financial communities could be adversely affected.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our business strategy, we may pursue acquisitions or licenses of assets or acquisitions of businesses, or disposition of assets or technologies. We also may pursue strategic alliances and joint ventures that leverage our core technology and industry experience. If we decide to collaborate with other companies to discover, develop and commercialize therapeutic products, we face significant competition in seeking appropriate collaborators because, for example, third parties have comparable rights to the CRISPR system or similar genome editing technologies. In addition, we have limited experience with acquiring, disposing of or licensing assets or forming strategic alliances and joint ventures.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delay or abandon discovery efforts or development programs, and the development, manufacture or commercialization of a product candidate, or increase our expenditures and undertake these activities at our own expense. If we elect to fund and undertake discovery, development, manufacturing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discovery, development, manufacturing and commercialization activities, we may not be able to further develop our product candidates, manufacture the product candidates, bring them to market or continue to develop our technology and our business may be materially and adversely affected. Furthermore, we may not identify or complete these transactions in a timely manner, on a cost-effective basis, or at all, and we may not realize the anticipated benefits of any acquisition, license, strategic alliance or joint venture.</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Our Reliance on Other Third Parties</w:t>
      </w:r>
    </w:p>
    <w:p>
      <w:pPr>
        <w:pStyle w:val="TextBody"/>
        <w:bidi w:val="0"/>
        <w:spacing w:before="120" w:after="283"/>
        <w:jc w:val="both"/>
        <w:rPr>
          <w:rFonts w:ascii="Times New Roman" w:hAnsi="Times New Roman"/>
          <w:sz w:val="20"/>
        </w:rPr>
      </w:pPr>
      <w:r>
        <w:rPr>
          <w:rFonts w:ascii="Times New Roman" w:hAnsi="Times New Roman"/>
          <w:b/>
          <w:i/>
          <w:color w:val="000000"/>
          <w:sz w:val="20"/>
        </w:rPr>
        <w:t>We currently rely, and expect to continue to rely in part on, third parties to manufacture our clinical product supplies, and we intend to rely on third parties for the manufacturing of our product candidates, if approved. Our business could be harmed if the third parties fail to provide us with sufficient quantities of product inputs or fail to do so at acceptable quality levels or prices or fail to meet legal and regulatory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in the early stages of establishing our own manufacturing facility to provide preclinical, clinical and commercial supply of our product candidates and must rely on outside vendors, such as CMOs, to manufacture supplies and process our product candidates. We are manufacturing and processing product candidate components on a clinical scale and may not be able to successfully continue to do so. We are optimizing and will continue to optimize the manufacturing process for late-stage clinical and commercial supply, and cannot be sure that even minor changes in the process will result in therapies that are safe, pure and potent. We are also unable to predict how changing global economic conditions or ongoing geopolitical conflicts and related global economic sanctions, or potential global health concerns will affect our third party suppliers and manufacturers. Any negative impact of such matters on our third party suppliers and manufacturers may also have an adverse impact on our results of operations or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facility that we may have in the future and the facilities used by our CMOs to manufacture our product candidates must be inspected and approved by, as applicable, the FDA or other foreign regulatory agencies after we apply for approval or marketing authorization. For the foreseeable future, we will be dependent on our CMO partners to properly manufacture adequate supply of our product candidates and components in a timely manner and in accordance with our specification. We also will depend on these entities for compliance with relevant legal and regulatory requirements for manufacture of our product candidates, including cGMP, and in certain cases, cGTP requirements. If we or our CMOs cannot successfully manufacture material that conforms to our specifications and the strict relevant regulatory requirements, we and our CMOs will not be able to secure or maintain regulatory approval for our respective manufacturing facilities. In addition, we have no control over the ability of our CMOs to maintain adequate quality control, quality assurance and qualified personnel, particularly as we increase the scale of our manufactured material. If the FDA or relevant foreign regulatory authority does not approve these facilities for the manufacture of our product candidates or if it withdraws any such approval, we may need to find alternative manufacturing facilities, which would significantly impact our ability to develop, obtain regulatory approval for or market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such scenario, our clinical trials supply could be delayed significantly as we establish alternative supply sources. In some cases, the technical skills required to manufacture our product candidates may be unique to the original CMO and we may have difficulty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comparability study, that any new manufacturing process will produce our product candidates according to the specifications previously submitted to the FDA or another regulatory authority. The delays associated with the verification of a new CMO could negatively affect our ability to develop product candidates or commercialize our products in a timely manner.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pStyle w:val="TextBody"/>
        <w:bidi w:val="0"/>
        <w:spacing w:before="240" w:after="283"/>
        <w:jc w:val="both"/>
        <w:rPr>
          <w:rFonts w:ascii="Times New Roman" w:hAnsi="Times New Roman"/>
          <w:sz w:val="20"/>
        </w:rPr>
      </w:pPr>
      <w:r>
        <w:rPr>
          <w:rFonts w:ascii="Times New Roman" w:hAnsi="Times New Roman"/>
          <w:b/>
          <w:i/>
          <w:color w:val="000000"/>
          <w:sz w:val="20"/>
        </w:rPr>
        <w:t>We currently rely, and expect to continue to rely on, third parties to conduct our preclinical studies and clinical trials. If these third parties do not successfully carry out their contractual duties or meet expected deadlines or comply with legal and regulatory requirements, we may not be able to obtain regulatory approval of or commercialize any potential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depend, and expect to continue to depend, upon third parties, including independent investigators, to conduct our clinical trials under agreements with universities, medical institutions, CROs, strategic partners and others. We expect to have to negotiate budgets and contracts with CROs, trial sites and other service and goods providers, which may result in delays to our development timelines and increased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rely, and expect to continue to rely heavily, on third parties over the course of our preclinical studies and clinical trials, and, as a result, will have limited control over the clinical investigators and other service providers, and limited visibility into their day-to-day activities, including with respect to their compliance with the approved clinical protocol and other legal, regulatory and scientific standards. Nevertheless, we are responsible for ensuring that each of our studies is conducted in accordance with the applicable protocol and legal, regulatory and scientific standards, and our reliance on third parties does not relieve us of our legal responsibilities. We and these third parties are required to comply with GCP, which are regulations and guidelines enforced by the FDA, EMA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relevant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 In addition, our clinical trials must be conducted with product produced under cGMP, and in certain cases, cGTP, requirements and may require a large number of test articles for studies involving a large number of test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or these third parties’ failure to comply with these requirements or to recruit a sufficient number of patients may require us to delay, suspend, repeat or terminate clinical trials, which would delay the regulatory approval process. Moreover, our business may be implicated if any of these third parties violates applicable federal, state or local, as well as foreign, laws and regulations, such as the fraud and abuse or false claims laws and regulations or privacy and security laws. In jurisdictions such as the U.K. and EU, penalties for violations of privacy laws and other regulations can be financially significant. Further, if any of our CROs, clinical investigators or others involved in our clinical trials fail to comply with such laws and regulations, we could be held responsible for its actions or omissions and be negatively impacted. In the event of non-compliance with the EU General Data Protection Regulation (“EU GDPR”) and the EU GDPR in such form as incorporated into the laws of the U.K. (“U.K. GDPR,” collectively with EU GDPR referred to as “GDPR”), we could be subject to substantial fines and other penalties, including fines of up to 20.0 million Euros (17.5 million GBP for the U.K. GDPR) or up to 4% of our total worldwide annual turnover for the preceding financial year, whichever is higher. The GDPR also confers a private right of action on data subjects and consumer associations to lodge complaints with supervisory authorities, seek judicial remedies, and obtain compensation for damages resulting from violations.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third parties conducting our current or future clinical trials will not be our employees and, except for remedies that may be available to us under our agreements with such third parties, we cannot control whether they devote sufficient time and resources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our ongoing preclinical, clinical, and nonclinical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fail to meet their contractual obligations, legal requirements or expected deadlines, need to be replaced, or generate inaccurate or substandard clinical data by failing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Public health concerns and measures taken in response by U.S. or other governments may significantly impact our CROs, clinical sites and other service and goods providers, which may affect our ability to initiate and complete preclinical studies and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of our relationships with these third party CROs, clinical sites or other third parties terminate, we may not be able to enter into arrangements with alternative CROs, clinical sites or other third parties or to do so on commercially reasonable terms. Switching or adding additional CROs, clinical sites or other providers involves additional cost and requires management time and focus. In addition, the transition to a new CRO may result in delays, which can materially impact our ability to meet our desired clinical development timelines. Though we carefully manage our relationships with these parties,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Data and Privacy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internal computer systems, or those of our collaborators or other contractors or consultants, may fail or suffer security breaches, incidents, or compromises, which could result in a disruption of our operations and development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increasingly dependent upon information technology systems, infrastructure, and data to operate our business. In the ordinary course of business, we collect, store, and transmit large amounts of confidential information (including but not limited to intellectual property, such as trade secrets, proprietary business information, and personal information). It is critical that we do so in a secure manner to maintain the confidentiality and integrity of such confidential information. We have also outsourced elements of our operations to third parties, and as a result we manage a number of third party vendors who may or could have access to our confidential information. Our third party collaborators, vendors and service providers (including our CMOs and CROs) also have access to large amounts of confidential information relating to our operations, including our research and development efforts. The size and complexity of our information technology systems, and those of third party vendors, service providers and collaborators, and the large amounts of confidential information stored on those systems, make such systems potentially vulnerable to service interruptions or systems failures, or to cybersecurity incidents, breaches or compromises from inadvertent or intentional actions by our employees, third party vendors, service providers, collaborators, and/or business partners, or from cybersecurity attacks by malicious third parties.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such risks, the adoption of new technologies may also increase our exposure to cybersecurity incidents, breaches, compromises and failures. Further, having a significant portion of our workforce working from home for extended periods of time puts us at greater risk of cybersecurity attacks. Cybersecurity attacks are increasing in their frequency, sophistication, and intensity, and have become increasingly difficult to detect. Cybersecurity attacks could include the deployment of harmful malware, denial-of-service attacks, attacks enhanced or facilitated by artificial intelligence (“AI”), social engineering, “phishing” scams, ransomware, network security breaches, data breaches and other means to affect service reliability and threaten the confidentiality, integrity, and availability of information. We and certain of our service providers have been subject to such attacks in the past, and while no such attacks have resulted in a material impact to our business, our company or our service providers may be materially impacted by such attacks in the future. Significant disruptions to our information technology systems could adversely affect our business operations and/or result in the loss, misappropriation, and/or unauthorized access, use, or disclosure of, or the prevention of access to, confidential information (including but not limited to trade secrets or other intellectual property, proprietary business information, and personal information), and could result in financial, legal, business, and reputational harm to us and would adversely affect our operations, including our discovery and research and development programs. Any security incidents, compromises or data breaches that lead to unauthorized access, use, or disclosure of personal information, including personal information regarding our employees or current or future clinical trial participants, could harm our reputation, require us to comply with onerous legal requirements under laws and regulations that protect the privacy and security of personal information, and subject us to significant liability including fines, litigation, and loss of current and future business.</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the loss of preclinical or clinical trial data from completed or future preclinical or clinical trials, respectively,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Cybersecurity incidents, data breaches, compromises, insider threats and other inappropriate access can be difficult to detect, and any delay in identifying them may lead to increased harm of the types summarized and described above. While we have implemented security measures to protect our information technology systems and infrastructure, there is no assurance that such measures will prevent service interruptions or security breaches, incidents or compromises that could adversely affect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Interruptions in the availability of server systems or communications with internet or cloud-based services, or failure to maintain the security, confidentiality, accessibility or integrity of data stored on such systems,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upon a variety of internet service providers, third party web hosting facilities, cloud computing platform providers and software as a service (“SaaS”) vendors to support our business. Failure to maintain the security, confidentiality, accessibility or integrity of data stored on such systems could result in interruptions in our operations, damage our reputation in the market, increase our service costs, cause us to incur substantial costs, subject us to liability for damages and/or fines, and divert our resources from other tasks, any one of which could materially adversely affect our business, financial condition, results of operations and prospects. If our security measures or those of our cloud computing platform providers, SaaS vendors or third party service partners, are breached, and unauthorized access is obtained to our data or our information technology systems, we may incur significant legal and financial exposure and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do not have control over the operations of the facilities of our cloud service providers, SaaS vendors or our third party web hosting providers, and they also may be vulnerable to damage or interruption from natural disasters, hardware or software outages, cybersecurity attacks, terrorist attacks and similar events or acts of misconduct. In addition, any changes in these providers’ service levels may adversely affect our ability to meet our requirements and operate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Social media platforms and artificial intelligence-based platforms present new risks and challenges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social media continues to expand, it also presents us with new risks and challenges. Social media is increasingly being used to communicate information about us, our programs and the diseases our therapeutics are being developed to treat.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applicable regulations, we could incur liability, face restrictive regulatory actions or incur other harm to our business including quick and irreversible damage to our reputation, brand image and goodwill.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may use AI platforms and tools internally when appropriate for our business, we have undertaken measures to restrict the use of public AI platforms by our employees. However, the use of public AI platforms by people, including our vendors, suppliers and contractors, with access to our proprietary and confidential information, including trade secrets, may continue to increase and may lead to the release of such information, which may impact our ability to realize the benefit of our intellectual property and/or give rise to legal and business risks. We have a process that assesses risks and opportunities for AI deployed at Intellia. However, the continued rapid evolution of AI will require the application of significant resources to ensure that our use of the AI platforms and tools internally is implemented in accordance with applicable law and regulation in a socially responsible manner and to minimize any real or perceived unintended harmful impacts thereof.</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growing number of legislatures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EU’s Artificial Intelligence Act (“AI Act”) entered into force on August 1, 2024, with most provisions becoming effective on August 2, 2026. This legislation imposes significant obligations on providers and deployers of AI systems, and encourages providers and deployers of AI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Likewise, in the U.S., several states, including Colorado and California, passed laws that are set to take effect in 2026, to regulate various uses of AI, including to make consequential decisions. However, a December 2025 executive order on a national policy framework for AI raises significant questions regarding the future of these state laws and it is likely that companies making use of AI technologies will face an uncertain legal framework for the near future. In addition to emerging state laws, various federal regulators have issued guidance and focused enforcement efforts on the use of AI in regulated sectors. The FDA, for example, issued guidance on the use of AI in medical devices, requiring detailed risk management and review processes to obtain approvals. If we use AI systems governed by these laws or regulations,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rapid evolution of AI will require the application of significant resources to govern, design, develop, test, maintain and monitor such systems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AI tools.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Competition</w:t>
      </w:r>
    </w:p>
    <w:p>
      <w:pPr>
        <w:pStyle w:val="TextBody"/>
        <w:bidi w:val="0"/>
        <w:spacing w:before="120" w:after="283"/>
        <w:jc w:val="both"/>
        <w:rPr>
          <w:rFonts w:ascii="Times New Roman" w:hAnsi="Times New Roman"/>
          <w:sz w:val="20"/>
        </w:rPr>
      </w:pPr>
      <w:r>
        <w:rPr>
          <w:rFonts w:ascii="Times New Roman" w:hAnsi="Times New Roman"/>
          <w:b/>
          <w:i/>
          <w:color w:val="000000"/>
          <w:sz w:val="20"/>
        </w:rPr>
        <w:t>We face significant competition in an environment of rapid technological change. The possibility that our competitors may achieve regulatory approval before we do or develop therapies that are more advanced or effective than ours may harm our business and financial condition or our ability to successfully market or commercialize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biotechnology and pharmaceutical industries are extremely competitive in the race to develop new products. While we believe we have significant competitive advantages with our industry-leading expertise in genome editing, clinical development expertise and dominant intellectual property position, we currently face and will continue to face competition for our development programs from companies that use genome editing or gene therapy development platforms and from companies focused on more traditional therapeutic modalities such as small molecules and antibodies. The competition is likely to come from multiple sources, including large and specialty pharmaceutical and biotechnology companies, academic research institutions, government agencies and public and private research institutions. Many of these competitors may have access to greater capital and resources than us. For any products that we may ultimately commercialize, not only will we compete with any existing therapies and those therapies currently in development, but we will also have to compete with new therapies that may become available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Specific to our lonvo-z program, we are aware of other companies that are currently commercializing or developing products used to treat HAE, including ADARx Therapeutics, Inc., Argo Biopharmaceutical Co., Ltd., BioCryst Pharmaceuticals Inc., CSL Limited, Gritgen Therapeutics Co., Ltd., Ionis Pharmaceuticals, Inc., KalVista Pharmaceuticals, Inc., Pharming Group N.V., Pharvaris N.V. and Takeda Pharmaceutical Company Limited.</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Specific to our nex-z program, we are aware of other companies that are currently commercializing or developing products and therapies used to treat ATTR amyloidosis, including Alnylam Pharmaceuticals, Inc., AstraZeneca Pharmaceuticals LP, BridgeBio Pharma Inc., Bayer AG, Ionis Pharmaceuticals, Inc., Metagenomi Therapeutics, Inc., Novo Nordisk A/S, Pfizer, Inc. and YolTech Therapeutics.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are focused on developing therapies using our core technologies, including CRISPR gene editing. Companies focused on developing therapies using gene editing technologies include: AccurEdit Therapeutics, Allogene Therapeutics, Inc., Arbor Biotechnologies, Inc., Basecamp Research, Ltd., Beam Therapeutics Inc., Bendao Gene Technology Co., Ltd., Caribou Biosciences, Inc., Cellectis S.A., CorrectSequence Therapeutics Co., Ltd., Create Medicines (formerly Myeloid Therapeutics, Inc.), CRISPR Therapeutics AG, EdiGene, Inc., Editas Medicine, Inc., Emendo Biotherapeutics, Inc., Ensoma, Inc., Epicrispr Biotechnologies, Inc., Epigenic Therapeutics, Evox Therapeutics, Ltd., Excision Biotherapeutics, Inc., Integra Therapeutics, S.L., Life Edit Therapeutics (an ElevateBio Company), Mammoth Biosciences, Inc., Metagenomi Therapeutics, Inc., Modalis Therapeutics Inc., nChroma Bio (formerly Chroma Medicine, Inc.), Poseida Therapeutics, Inc. (acquired by Roche Holdings, Inc.), Precision Biosciences, Inc., Prime Medicine, Inc., Regel Therapeutics, Inc., Sangamo Therapeutics, Inc., Scribe Therapeutics, Inc., Seamless Therapeutics, Inc., Stylus Medicine, Inc., Tessera Therapeutics, Inc., ToolGen, Inc., Tune Therapeutics, Inc., Verve Therapeutics, Inc. (acquired by Eli Lilly and Company) and YolTech Therapeutics.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competitors will also include companies that are or will be developing therapies directed to the same therapeutic areas we may pursue using other technologies, such as small molecules, biologics, </w:t>
      </w:r>
      <w:r>
        <w:rPr>
          <w:rFonts w:ascii="Times New Roman" w:hAnsi="Times New Roman"/>
          <w:i/>
          <w:color w:val="000000"/>
          <w:sz w:val="20"/>
        </w:rPr>
        <w:t>in vivo</w:t>
      </w:r>
      <w:r>
        <w:rPr>
          <w:rFonts w:ascii="Times New Roman" w:hAnsi="Times New Roman"/>
          <w:color w:val="000000"/>
          <w:sz w:val="20"/>
        </w:rPr>
        <w:t xml:space="preserve"> gene therapies, engineered cell therapies and nucleic acid-based therapies.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advances in gene therapy, engineered cell therapies or genome editing technology made by a competitor may be used to develop therapies that could compete against any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these competitors have substantially greater research and development capabilities and financial, scientific, technical, intellectual property, manufacturing, marketing, distribution and other resources than we do, and we may not be able to successfully compete with them.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we are successful in selecting and developing any product candidates, in order to compete successfully we may need to be first-to-market or demonstrate that our CRISPR-based products are superior to therapies based on the same or different treatment methods. If we are not first-to-market or are unable to demonstrate such superiority, any products for which we are able to obtain approval may not be commercially successful. Furthermore, in certain jurisdictions, if a competitor has orphan drug status for a product and if our product candidate is determined to be contained within the scope of a competitor’s orphan drug exclusivity, then approval of our product for that indication or disease could potentially be blocked, for example, for up to seven years in the U.S. and 10 years in the EU.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Commercialization</w:t>
      </w:r>
    </w:p>
    <w:p>
      <w:pPr>
        <w:pStyle w:val="TextBody"/>
        <w:bidi w:val="0"/>
        <w:spacing w:before="120" w:after="283"/>
        <w:jc w:val="both"/>
        <w:rPr>
          <w:rFonts w:ascii="Times New Roman" w:hAnsi="Times New Roman"/>
          <w:sz w:val="20"/>
        </w:rPr>
      </w:pPr>
      <w:r>
        <w:rPr>
          <w:rFonts w:ascii="Times New Roman" w:hAnsi="Times New Roman"/>
          <w:b/>
          <w:i/>
          <w:color w:val="000000"/>
          <w:sz w:val="20"/>
        </w:rPr>
        <w:t>If, in the future, we are unable to establish sales, marketing and distribution capabilities or enter into agreements with third parties to sell, market and distribute products based on our technologies, we may not be successful in commercializing our products if and when any product candidates or therapies are approved and we may not be able to generate any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currently have a sales, marketing or distribution infrastructure and, as a company, have no experience in the sale, marketing or distribution of therapeutic products. To achieve commercial success for any approved product candidate for which we retain sales and marketing responsibilities, such as lonvo-z, if approved, we must build our sales, marketing, managerial and other non-technical capabilities or make arrangements with third parties to perform these services. There are risks involved with both establishing our own sales and marketing capabilities and entering into arrangements with third parties to perform these services.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Factors that may inhibit our efforts to commercialize our product candidates, such as lonvo-z, if approved,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recruit, train and retain adequate numbers of effective sales and marketing personnel;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of sales personnel to obtain access to physicians or persuade adequate numbers of physicians to prescribe any future product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lack of complementary treatments to be offered by sales personnel, which may put us at a competitive disadvantage relative to companies with more extensive product lines;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location of patients in need of our product candidates and the treating physicians who may prescribe the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unforeseen costs and expenses, as well as legal and regulatory requirements, associated with creating and operating a sales and marketing organization.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enter into arrangements with third parties to perform sales, marketing and distribution services, we would likely have lower product revenue or profitability than if we were to market and sell our product candidates independently. In addition, we may be unable to enter into sales and marketing arrangements with third parties, or into arrangements with terms that are favorable to us. We likely will have little control over such third parties and any of them may fail to devote the necessary resources and attention to sell and market our product candidates effectively. If we do not establish sales, marketing and distribution capabilities successfully, either on our own or through third parties, we may not be successful in commercializing our product candidates, and our business, results of operations, financial condition and prospects will be materially adversely affected.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Employee Matters and Managing Our Workforce</w:t>
      </w:r>
    </w:p>
    <w:p>
      <w:pPr>
        <w:pStyle w:val="TextBody"/>
        <w:bidi w:val="0"/>
        <w:spacing w:before="120" w:after="283"/>
        <w:jc w:val="both"/>
        <w:rPr>
          <w:rFonts w:ascii="Times New Roman" w:hAnsi="Times New Roman"/>
          <w:sz w:val="20"/>
        </w:rPr>
      </w:pPr>
      <w:r>
        <w:rPr>
          <w:rFonts w:ascii="Times New Roman" w:hAnsi="Times New Roman"/>
          <w:b/>
          <w:i/>
          <w:color w:val="000000"/>
          <w:sz w:val="20"/>
        </w:rPr>
        <w:t>Our future success depends on our ability to retain key executives and to attract, retain and motivate qualified personnel.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the research and development, clinical, manufacturing, commercialization, legal, financial and business development expertise of John M. Leonard, M.D., our President and Chief Executive Officer, Edward J. Dulac III, our Executive Vice President, Chief Financial Officer and Treasurer, James Basta, our Executive Vice President, General Counsel and Corporate Secretary, Eliana Clark, our Executive Vice President and Chief Technical Officer, Michael P. Dube, our Chief Accounting Officer, David Lebwohl, our Executive Vice President and Chief Medical Officer, and Birgit Schultes, our Executive Vice President and Chief Scientific Officer, as well as the other principal members of our management, scientific and clinical teams. Although we have entered into employment arrangements with our executive officers, each of them may terminate their employment with us at any time. We do not maintain “key person” insurance for any of our executives or other employees.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Execution of our business plans and strategies requires capable personnel with specialized skills and expertise in the research, development, manufacturing and commercialization of biopharmaceutical products, and, as a result, we may encounter difficulties in hiring or retaining capable personnel in key positions.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Recruiting and retaining qualified scientific, clinical, manufacturing and sales and marketing personnel will also be important for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using our technology. Competition to hire from this limited pool is intense, and we may be unable to hire, train, retain or motivate these key personnel on acceptable terms given the competition among numerous pharmaceutical and biotechnology companies, universities and research institutions for similar personnel. The market for qualified personnel in the biotechnology space generally, and genome editing and gene therapy fields in particular, in and around the Cambridge, Massachusetts area is especially competitive. In addition, we rely on consultants and advisors, including scientific and clinical advisors, to assist us in formulating our research and development and commercialization strategies. Our consultants and advisors may be employed by employers other than us and may have commitments under consulting or advisory contracts with other entities that may limit their availability to us. Further, some of the qualified personnel that we hire and recruit are not U.S. citizens, and there is uncertainty with regard to their future employment status due to the current U.S. administration’s announced intention of modifying the legal framework for non-U.S. citizens to be employed in the U.S. If we are unable to continue to attract and retain high quality personnel, our ability to pursue our growth strategy will be limited.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help attract, retain, and motivate qualified employees in senior roles, we use equity-based awards and performance-based cash incentive awards. Sustained declines in our stock price, or lower stock price performance relative to competitors, can reduce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retention value of our equity-based awards, which can impact the competitiveness of our compensation. There can be no assurance that we will be successful in retaining existing personnel or recruiting new personnel.</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Healthcare</w:t>
      </w:r>
    </w:p>
    <w:p>
      <w:pPr>
        <w:pStyle w:val="TextBody"/>
        <w:bidi w:val="0"/>
        <w:spacing w:before="120" w:after="283"/>
        <w:jc w:val="both"/>
        <w:rPr>
          <w:rFonts w:ascii="Times New Roman" w:hAnsi="Times New Roman"/>
          <w:sz w:val="20"/>
        </w:rPr>
      </w:pPr>
      <w:r>
        <w:rPr>
          <w:rFonts w:ascii="Times New Roman" w:hAnsi="Times New Roman"/>
          <w:b/>
          <w:i/>
          <w:color w:val="000000"/>
          <w:sz w:val="20"/>
        </w:rPr>
        <w:t>Coverage and reimbursement may be limited or unavailable in certain market segments for our product candidates, if approved, which could make it difficult for us to sell any product candidates or therapies profitably.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success of our product candidates, such as lonvo-z, if approved, depends on the availability of adequate coverage and reimbursement from third party payors, including government agencies, private health insurers and health maintenance organizations. There is significant uncertainty related to the insurance coverage and reimbursement of any newly approved product, but in particular novel genome editing and engineered cell products. All the therapeutic indications approved by the relevant authorities may not be covered or reimbursed. In addition, we cannot be sure that coverage and reimbursement will be available for, or accurately estimate the potential revenue from, our product candidates because they are novel treatments for diseases using new technology and delivery approaches. For more information on coverage and reimbursement see the section entitled “</w:t>
      </w:r>
      <w:r>
        <w:rPr>
          <w:rFonts w:ascii="Times New Roman" w:hAnsi="Times New Roman"/>
          <w:b/>
          <w:color w:val="000000"/>
          <w:sz w:val="20"/>
        </w:rPr>
        <w:t xml:space="preserve">Business – Government Regulation and Product Approval – </w:t>
      </w:r>
      <w:r>
        <w:rPr>
          <w:rFonts w:ascii="Times New Roman" w:hAnsi="Times New Roman"/>
          <w:b/>
          <w:i/>
          <w:color w:val="000000"/>
          <w:sz w:val="20"/>
        </w:rPr>
        <w:t>Coverage and Reimbursement.</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U.S. and some other jurisdictions, patients generally rely on third party payors to reimburse all or part of the costs associated with their treatment. Adequate coverage and reimbursement from governmental healthcare programs, such as Medicare and Medicaid in the U.S., and commercial payors are critical to new product uptake.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Government authorities and other third party payors, such as private health insurers and health maintenance organizations, decide which drugs and treatments they will cover and the amount of reimbursement. In the U.S., the principal decisions about reimbursement for new medicines are typically made by the CMS, an agency within the HHS. CMS decides whether and to what extent a new medicine will be covered and reimbursed under Medicare, and private payors often follow CMS’s coverage decisions. Other jurisdictions have agencies, such as the National Institute for Health and Care Excellence in the U.K., that evaluate the use and cost-effectiveness of therapies, which impact the utilization and price of the medicine in such jurisdiction.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U.S., no uniform policy of coverage and reimbursement for products exists among third party payors. As a result, obtaining coverage and reimbursement approval of a product from a third party payor is a time-consuming and costly process that could require us to provide supporting scientific, clinical and cost-effectiveness data for the use of our products to each potential payor, with no assurance that coverage and adequate reimbursement will be obtained from all or any of them. Even if we obtain coverage for a given product, the resulting reimbursement payment rates might be insufficient or may require co-insurance or co-payments that patients find unacceptably high, which may prevent us from achieving or sustaining profitability. Additionally, third party payors may not cover, or provide adequate reimbursement for, long-term follow-up evaluations required following the use of our genome editing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each country in which we seek approval to market our product candidates has unique laws and market practices regulating coverage and reimbursement for human therapeutics. Market acceptance and sales of our products in each country will depend on our ability to meet each of these jurisdiction’s requirements for coverage and reimbursement. Further, changes to the country’s existing requirements may also affect our ability to commercialize our products in the future, or achieve profitability from their sale.</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directly or indirectly, to federal and state healthcare fraud and abuse laws, false claims laws, physician payment transparency laws, health information privacy and security laws and anti-corruption laws. If we are unable to comply, or have not fully complied, with such laws or their relevant foreign counterparts, we could face substantial penalties.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sale, distribution and marketing of human therapeutics and our relationship with healthcare providers are strictly regulated by laws in the U.S. and most other jurisdictions in which we intend to seek approval for our product candidates. In addition, the collection and use of personal information, including Protected Health Information, is regulated by federal, state and foreign privacy, data security and data protection laws. Failure to comply with these laws could impair our ability to properly sell our product candidates in particular jurisdictions and subject us to liability from private and governmental entities. Addressing these diverse and sometimes contradictory requirements in myriad jurisdictions may necessitate that we expend significant resources on compliance efforts. Any failure to comply with these requirements may leave us exposed to possible enforcement actions and potential liability. For more information on these laws and regulations see the section entitled “</w:t>
      </w:r>
      <w:r>
        <w:rPr>
          <w:rFonts w:ascii="Times New Roman" w:hAnsi="Times New Roman"/>
          <w:b/>
          <w:color w:val="000000"/>
          <w:sz w:val="20"/>
        </w:rPr>
        <w:t xml:space="preserve">Business – Government Regulation and Product Approval – </w:t>
      </w:r>
      <w:r>
        <w:rPr>
          <w:rFonts w:ascii="Times New Roman" w:hAnsi="Times New Roman"/>
          <w:b/>
          <w:i/>
          <w:color w:val="000000"/>
          <w:sz w:val="20"/>
        </w:rPr>
        <w:t>Other Healthcare and Privacy Laws.</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scope and enforcement of each of these laws is not always certain and is subject to legislative, judicial or prosecutorial changes. Further, because of the breadth of these laws, it is possible that some of our business activities could be subject to challenge under one or more of such laws. Indeed, U.S. federal and state enforcement bodies have increasingly scrutinized healthcare companies and providers interactions, which has led to a number of investigations, prosecutions, convictions and settlements in the industry. Ensuring business arrangements comply with applicable laws, as well as responding to possible investigations by government authorities, can be time- and resource-consuming and can divert the attention of our staff and resources from performing the duties required for the general operation of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increasingly global nature of our business operations, including clinical development efforts, subjects us to domestic and foreign anti-bribery and anti-corruption laws and regulations, such as the Foreign Corrupt Practices Act (“FCPA”) and the U.K. Bribery Act. These activities create the risk of unauthorized payments or offers of payments that are prohibited under the FCPA, the U.K. Bribery Act or similar laws. It is our policy to implement safeguards to discourage these practices by our employees and agents. However, these safeguards may ultimately prove ineffective, and our employees, consultants, and agents may engage in conduct for which we might be held responsible. Violations of the FCPA may result in severe criminal or civil sanctions, and we may be subject to other liabilities, which could negatively affect our business, operating results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U.S. federal and state governments, as well as other jurisdictions, have myriad laws regulating the collection, storage, distribution, safeguarding and use of personal information of employees, patients, agents, and others. These different laws governing the privacy and security of health and other personal information often differ from each other in significant ways and may not have the same effective requirements, thus complicating efforts to comply with their respective provisions.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California Consumer Privacy Act (“CCPA”) requires covered companies to provide disclosures to California consumers and afford such consumers rights with respect to their personal information, including the rights to request deletion of their information, receive the information on record for them, know what categories of information are being maintained about them, and opt-out of certain sales of their information. The CCPA provides for civil penalties for violations, as well as a private right of action for certain data breaches that result in the loss of personal information, which may increase the likelihood of, and risks associated with, data breach litigation. The CCPA was amended by the California Privacy Rights Act (“CPRA”), which went into effect on January 1, 2023, and substantially modified the CCPA, including by expanding consumers’ rights with respect to certain sensitive personal information, establishing a state agency vested with the authority to enforce the CCPA and by creating additional obligations with respect to the processing of personal information, including regulating personal information collected about employees, applicants and retirees as well as that which is collected in a business to business capacity. We anticipate additional costs associated with state privacy law compliance and we cannot yet fully determine the impact that such laws, regulations and standards may have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broad consumer privacy and data protection laws have been or are predicted to be passed in a number of additional states. Many state privacy and data protection laws differ from each other in significant ways, and it is not yet fully clear how these laws will be enforced and interpreted. In addition, other states have passed laws regulating specific aspects of privacy. For example, the State of Washington passed a law, effective as of March 31, 2024, that regulates health and medical information that is not subject to HIPAA. Similar laws have been passed in Connecticut and Nevada. Additionally, a small number of states have enacted laws that specifically target the collection and use of biometric information. Furthermore, other U.S. states have enacted stringent data security 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around the world, many countries have enacted laws that regulate data protection. In the European Economic Area (“EEA”), the collection and use of personal data is regulated by the GDPR and the member states’ related data protection and privacy laws. As the GDPR applies not only to businesses that are established within the EEA or the U.K. but also to any business that offers goods or services to individuals in those territories, it could apply to us. The GDPR imposes strict requirements, including requirements to ensure an appropriate legal basis or condition applies to the processing of personal data, special protections for “sensitive” personal data which includes health and genetic information of individuals in the EEA or the U.K.; disclosures about the personal data use; information retention limitations; mandatory data breach notification requirements; and additional oversight obligations relating to third parties retained to process the personal data. The GDPR grants or enhances the rights of individuals with respect to their personal data, including the rights to object to the processing of the data and request deletion of the same. In addition, the GDPR includes strict requirements on, and prohibits, the transfer of personal data subject to GDPR to jurisdictions that have not been deemed by competent authorities to offer “adequate” privacy protections (“third countries”), unless a derogation exists or a valid GDPR transfer mechanism (for example, the EC approved Standard Contractual Clauses, certification to the EU-U.S. Data Privacy Framework (which allows for transfers for relevant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U.S.-based organizations who self-certify compliance and participate in the framework) and the U.K. International Data Transfer Agreement/Addendum) has been put in place and a transfer impact assessment has been carried out. Our compliance with international data transfer obligations under the GDPR, where applicable, may require significant effort and cost, and may limit our ability to transfer such personal data to other jurisdictions or to work with certain service providers that process personal data, and may require us to make strategic considerations around where such personal data is stored. Further, although the EC has acknowledged that the U.K. currently has adequate protections for international data transfers, there may be developments related to the U.K.’s withdrawal from the EU (“Brexit”) in the future that result in additional costs and operational challenges in complying with the U.K. GDPR and any other developments regulating the transfer of personal data between the U.K. and EU. For example, the U.K. government has introduced a Data Use and Access Bill (the “U.K. Bill”) into the U.K. legislative process, which has passed. The aim of the U.K. Bill is to reform the U.K.’s data protection regime following Brexit. The U.K. Bill may have the effect of further altering the similarities between the U.K. and EEA data protection regime and threaten the U.K. adequacy decision from the EC. Failure to comply with the requirements of the GDPR may result in warning letters, mandatory audits, orders to cease/change the use of data, and financial penalties, including fines of up to 4% of global revenues, or 20.0 million Euros (17.5 million GBP in the U.K.), whichever is greater. Moreover, data subjects can seek damages for violations, and non-profit organizations can bring claims on behalf of data subjects.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costs associated with ensuring compliance with these laws, including in particular GDPR, may be onerous and may adversely affect our business, financial condition, results of operations and prospects. We may also need to rely on multiple third parties, such as partners and service providers, to meet these legal requirements, which could result in additional liability for us if they do not comply.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Efforts to ensure that we comply with all applicable healthcare and data privacy laws and regulations, as well as other domestic and foreign legal requirements, will involve substantial costs. It is possible that governmental and enforcement authorities in the U.S. or outside the U.S. will conclude that our business practices do not comply with current or future legal requirements. If any noncompliance actions are instituted against us, those actions could have a significant impact on our business, including the imposition of significant civil, criminal and administrative penalties, damages, disgorgement, monetary fines, individual imprisonment, exclusion from participation in federal healthcare programs (such as Medicare and Medicaid), contractual damages, reputational harm, diminished profits and future earnings, and curtailment or restructuring of our operations, as well as additional reporting obligations and oversight if we become subject to a corporate integrity agreement or similar agreement to resolve allegations of non-compliance with these laws, any of which could adversely affect our ability to operate our business and affect the results of our operations. Any action alleging a violation of these laws, even if successfully defended, could result in significant legal expenses and divert management’s attention from the operation of the business. Prohibitions or restrictions on sales (including importation or exportation) or withdrawal of future marketed products could materially affect business in an adverse way.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Healthcare cost control initiatives, including healthcare legislative and regulatory reform measures, may have a material adverse effect on our business and results of operations.</w:t>
      </w:r>
    </w:p>
    <w:p>
      <w:pPr>
        <w:pStyle w:val="TextBody"/>
        <w:bidi w:val="0"/>
        <w:spacing w:before="120" w:after="283"/>
        <w:jc w:val="both"/>
        <w:rPr>
          <w:rFonts w:ascii="Times New Roman" w:hAnsi="Times New Roman"/>
          <w:sz w:val="20"/>
        </w:rPr>
      </w:pPr>
      <w:r>
        <w:rPr>
          <w:rFonts w:ascii="Times New Roman" w:hAnsi="Times New Roman"/>
          <w:color w:val="000000"/>
          <w:sz w:val="20"/>
        </w:rPr>
        <w:t>The U.S. and many other jurisdictions have enacted or proposed legal changes affecting the healthcare system that could prevent or delay marketing approval of our product candidates, affect our ability to profitably sell our product candidates once approved, and restrict or regulate post-approval activities. Changes in the legal requirements, or their interpretation, could impact our business by compelling, for example, modification to: our manufacturing arrangements; product labeling; pricing and reimbursement arrangements; private or governmental insurance coverage; the sale practices for, or availability of, our products; or record-keeping activities. If any such changes were to be imposed, they could adversely affect the operation of our business. For more information on these laws and regulations see the section entitled “</w:t>
      </w:r>
      <w:r>
        <w:rPr>
          <w:rFonts w:ascii="Times New Roman" w:hAnsi="Times New Roman"/>
          <w:b/>
          <w:color w:val="000000"/>
          <w:sz w:val="20"/>
        </w:rPr>
        <w:t xml:space="preserve">Business – Government Regulation and Product Approval – </w:t>
      </w:r>
      <w:r>
        <w:rPr>
          <w:rFonts w:ascii="Times New Roman" w:hAnsi="Times New Roman"/>
          <w:b/>
          <w:i/>
          <w:color w:val="000000"/>
          <w:sz w:val="20"/>
        </w:rPr>
        <w:t>Healthcare Reform.</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party payors, whether domestic or foreign, or governmental or commercial, are developing increasingly sophisticated methods of controlling healthcare costs. In the U.S. and certain other jurisdictions, there have been, and are expected to continue to be, a number of legislative and regulatory changes to the healthcare system that could impact our ability to sell our products profitably. In addition, significant uncertainty exists in the U.S. and certain other jurisdictions regarding the provision and financing of healthcare because the elected administrations in such countries have publicly declared their intention to review and potentially significantly modify the current legal and regulatory framework for the healthcare system. For example, recent CMS proposals, including the Global Benchmark for Efficient Drug Pricing (“GLOBE”), the Guarding U.S. Medicare Against Rising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Drug Costs (“GUARD”), and the GENErating cost Reductions fOr U.S. Medicaid (“GENEROUS”) models, which seek to incorporate most-favored-nation (“MFN”) drug pricing into Medicare and Medicaid, could materially impact our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demand for our product candidates, if we obtain regulatory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set a price that we believe is fair for our approved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Risks Related to Investment in Securities</w:t>
      </w:r>
    </w:p>
    <w:p>
      <w:pPr>
        <w:pStyle w:val="TextBody"/>
        <w:bidi w:val="0"/>
        <w:spacing w:before="120" w:after="283"/>
        <w:jc w:val="both"/>
        <w:rPr>
          <w:rFonts w:ascii="Times New Roman" w:hAnsi="Times New Roman"/>
          <w:sz w:val="20"/>
        </w:rPr>
      </w:pPr>
      <w:r>
        <w:rPr>
          <w:rFonts w:ascii="Times New Roman" w:hAnsi="Times New Roman"/>
          <w:b/>
          <w:i/>
          <w:color w:val="000000"/>
          <w:sz w:val="20"/>
        </w:rPr>
        <w:t>An active trading market for our common stock may not be sustained.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 and may impair our ability to acquire other companies or technologies by using our shares as consideration. </w:t>
      </w:r>
    </w:p>
    <w:p>
      <w:pPr>
        <w:pStyle w:val="TextBody"/>
        <w:bidi w:val="0"/>
        <w:spacing w:before="240" w:after="283"/>
        <w:jc w:val="both"/>
        <w:rPr>
          <w:rFonts w:ascii="Times New Roman" w:hAnsi="Times New Roman"/>
          <w:sz w:val="20"/>
        </w:rPr>
      </w:pPr>
      <w:r>
        <w:rPr>
          <w:rFonts w:ascii="Times New Roman" w:hAnsi="Times New Roman"/>
          <w:b/>
          <w:i/>
          <w:color w:val="000000"/>
          <w:sz w:val="20"/>
        </w:rPr>
        <w:t>The price of our common stock historically has been volatile, which may affect the price at which you could sell any shares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price for our common stock historically has been highly volatile and could continue to be subject to wide fluctuations in response to various factors. This volatility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our products or technologies or competing products or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results of clinical trials of our product candidates or those of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issued patents, patent applications or other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or legal developments in the U.S. and other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level of expenses related to any of our product candidates or clinical development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our efforts to discover, develop, manufacture, acquire or in-license our current and additional product candidates or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variations in our financial results or the financial results of companies that are perceived to be similar to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or the perception in the market that the holders of a large number of shares intend to sell shares;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 perception of the safety of genome editing based therapeutics;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economic, industry and market conditions; and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 other factors summarized and described in this </w:t>
      </w:r>
      <w:r>
        <w:rPr>
          <w:rFonts w:ascii="Times New Roman" w:hAnsi="Times New Roman"/>
          <w:i/>
          <w:color w:val="000000"/>
          <w:sz w:val="20"/>
        </w:rPr>
        <w:t>Risk Factors</w:t>
      </w:r>
      <w:r>
        <w:rPr>
          <w:color w:val="000000"/>
        </w:rPr>
        <w:t xml:space="preserve"> </w:t>
      </w:r>
      <w:r>
        <w:rPr>
          <w:rFonts w:ascii="Times New Roman" w:hAnsi="Times New Roman"/>
          <w:color w:val="000000"/>
          <w:sz w:val="20"/>
        </w:rPr>
        <w:t>section.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Companies trading in the stock market in general, and in The Nasdaq Global Market in particular, have also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market, securities class-action litigation has often been instituted against companies. See, for example, the section entitled “Legal Proceedings,” for a description of the </w:t>
      </w:r>
      <w:r>
        <w:rPr>
          <w:rFonts w:ascii="Times New Roman" w:hAnsi="Times New Roman"/>
          <w:i/>
          <w:color w:val="000000"/>
          <w:sz w:val="20"/>
        </w:rPr>
        <w:t>Gonzalez</w:t>
      </w:r>
      <w:r>
        <w:rPr>
          <w:rFonts w:ascii="Times New Roman" w:hAnsi="Times New Roman"/>
          <w:color w:val="000000"/>
          <w:sz w:val="20"/>
        </w:rPr>
        <w:t xml:space="preserve"> class action alleging that we and certain of our officers made false and misleading statements regarding our NTLA-3001 program. Other purported stockholders may file similar lawsuits challenging our disclosures. Even if the allegations against us are unfounded or we ultimately are not held liable, we may experience related negative publicity resulting in damage to our reputation. Such litigation, if instituted against us, could result in substantial costs and diversion of management’s attention and resources, which could materially and adversely affect our business, financial condition, results of operations and growth prospects.</w:t>
      </w:r>
    </w:p>
    <w:p>
      <w:pPr>
        <w:pStyle w:val="TextBody"/>
        <w:bidi w:val="0"/>
        <w:spacing w:before="240" w:after="283"/>
        <w:jc w:val="both"/>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market for our common stock will depend, in part, on the research and reports that securities or industry analysts publish about us or our business. Securities and industry analysts may not publish an adequate amount of research on us, which may negatively impact the trading price for our stock. In addition, if one or more of the analysts who cover us downgrade our stock or publish inaccurate or unfavorable research about our business, our stock price would likely decline. Further, if our operating results fail to meet the forecasts of analysts, our stock price would likely decline. If one or more of these analysts cease coverage of us or fail to publish reports on us regularly, demand for our stock could decrease, which might cause our stock price and trading volume to decline. </w:t>
      </w:r>
    </w:p>
    <w:p>
      <w:pPr>
        <w:pStyle w:val="TextBody"/>
        <w:bidi w:val="0"/>
        <w:spacing w:before="240" w:after="283"/>
        <w:jc w:val="both"/>
        <w:rPr>
          <w:rFonts w:ascii="Times New Roman" w:hAnsi="Times New Roman"/>
          <w:sz w:val="20"/>
        </w:rPr>
      </w:pPr>
      <w:r>
        <w:rPr>
          <w:rFonts w:ascii="Times New Roman" w:hAnsi="Times New Roman"/>
          <w:b/>
          <w:i/>
          <w:color w:val="000000"/>
          <w:sz w:val="20"/>
        </w:rPr>
        <w:t>Because we do not anticipate paying any cash dividends on our capital stock in the foreseeable future, capital appreciation, if any, will be your sole source of gain.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 Related to Ownership Generally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if they choose to act together, will be able to control or exercise significant influence over matters subject to stockholder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executive officers, directors, 5% or greater stockholders and their affiliates beneficially own a significant percentage of our outstanding voting stock. These stockholders may have the ability to influence us through their ownership positions. These stockholders may be able to determine all matters requiring stockholder approval. For example, these stockholders, acting together, may be able to control elections of directors or approval of any merger, sale of assets or other major corporate transaction. This may prevent or discourage unsolicited acquisition proposals or offers for our common stock that you may believe are in your best interest as one of our stockholders. </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broad discretion over the use of our cash, cash equivalents and marketable securities, and may not use them effectively, including that we may be exposed to liquidity issues and other systemic financial risks at the financial institutions holding our cash and cash equivalents.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has broad discretion to use our cash, cash equivalents and marketable securities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Pending our use to fund operations, we may invest our cash, cash equivalents and marketable securities in a manner that does not produce income or that loses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portion of our cash may be held by financial institutions that may have been, or could in the future become, exposed to liquidity issues, bank failures or other systemic financial risks. Our uninsured cash deposits with such financial institutions may be at risk in the event they experience liquidity problems or other financial losses. In addition, although the U.S. Department of Treasury, the Federal Deposit Insurance Corporation (“FDIC”) and Federal Reserve Board previously provided loans and other programs to mitigate the risk of potential losses from uninsured deposits, there is no guarantee that the U.S. Department of Treasury, FDIC and Federal Reserve Board will provide access to such programs in the future in the event of the closure of other banks or financial institutions, or that they would do so in a timely fashion. We assess our banking relationships as we believe necessary or appropriate, but uncertainty remains over liquidity concerns in the broader financial services industry, and our business, our business partners, or industry as a whole may be adversely impacted in ways that we cannot predict at this time, including our ability to access cash in amounts adequate to finance or capitalize our current and/or projected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(including cash management arrangements), disruptions or instability in the financial services industry or financial markets, or concerns or negative expectations about the prospects for companies in the financial services industry. In addition, our vendors, such as our CMOs, CROs or business partners, may be susceptible to the foregoing liquidity or other financial risks and factors, which could, in turn, have a material adverse effect on our current and/or projected business operations and results of operations and financial condition.</w:t>
      </w:r>
    </w:p>
    <w:p>
      <w:pPr>
        <w:pStyle w:val="TextBody"/>
        <w:bidi w:val="0"/>
        <w:spacing w:before="240" w:after="283"/>
        <w:jc w:val="both"/>
        <w:rPr>
          <w:rFonts w:ascii="Times New Roman" w:hAnsi="Times New Roman"/>
          <w:sz w:val="20"/>
        </w:rPr>
      </w:pPr>
      <w:r>
        <w:rPr>
          <w:rFonts w:ascii="Times New Roman" w:hAnsi="Times New Roman"/>
          <w:b/>
          <w:i/>
          <w:color w:val="000000"/>
          <w:sz w:val="20"/>
        </w:rPr>
        <w:t>We incur significant costs as a result of operating as a public company, and our management is required to devote substantial time to compliance initiatives and corporate governance practices.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public company, and particularly since we are no longer an “emerging growth company” under applicable SEC regulations, we incur significant legal, accounting and other expenses.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Section 404 of the Sarbanes-Oxley Act of 2002 (“Section 404”), we are required to furnish a report by our management on our internal control over financial reporting, including an attestation report on internal control over financial reporting issued by our independent registered public accounting firm. We conduct a process each year to document and evaluate our internal control over financial reporting, which is both costly and challenging. In this regard, we dedicate internal resources,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that our internal control over financial reporting is effective as required by Section 404. This could result in an adverse reaction in the financial markets due to a loss of confidence in the reliability of our consolidated financial statements.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Future Financial Condition</w:t>
      </w:r>
    </w:p>
    <w:p>
      <w:pPr>
        <w:pStyle w:val="TextBody"/>
        <w:bidi w:val="0"/>
        <w:spacing w:before="120" w:after="283"/>
        <w:jc w:val="both"/>
        <w:rPr>
          <w:rFonts w:ascii="Times New Roman" w:hAnsi="Times New Roman"/>
          <w:sz w:val="20"/>
        </w:rPr>
      </w:pPr>
      <w:r>
        <w:rPr>
          <w:rFonts w:ascii="Times New Roman" w:hAnsi="Times New Roman"/>
          <w:b/>
          <w:i/>
          <w:color w:val="000000"/>
          <w:sz w:val="20"/>
        </w:rPr>
        <w:t>Future sales and issuances of our common stock or rights to purchase common stock, including pursuant to our equity incentive plans and “at-the-market” offerings, could result in additional dilution of the percentage ownership of stockholders and could cause our stock price to fall.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Given the volatility in the capital markets, we may not be willing or able to continue to raise equity capital. We may, therefore, need to turn to other sources of funding that may have terms that are not favorable to us, or reduce our business operations given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capital constraints. 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 We cannot predict the effect that future sales of common stock or other equity-related securities would have on the market price of our common stock. 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our Charter and Bylaws</w:t>
      </w:r>
    </w:p>
    <w:p>
      <w:pPr>
        <w:pStyle w:val="TextBody"/>
        <w:bidi w:val="0"/>
        <w:spacing w:before="120" w:after="283"/>
        <w:jc w:val="both"/>
        <w:rPr>
          <w:rFonts w:ascii="Times New Roman" w:hAnsi="Times New Roman"/>
          <w:sz w:val="20"/>
        </w:rPr>
      </w:pPr>
      <w:r>
        <w:rPr>
          <w:rFonts w:ascii="Times New Roman" w:hAnsi="Times New Roman"/>
          <w:b/>
          <w:i/>
          <w:color w:val="000000"/>
          <w:sz w:val="20"/>
        </w:rPr>
        <w:t>Anti-takeover provisions in our charter documents and under Delaware law could make an acquisition of us difficult, limit attempts by our stockholders to replace or remove our current management and adversely affect our stock price.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stock. Among other things, the certificate of incorporation and by-laws: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permit the board of directors to issue up to 5,000,000 shares of preferred stock, with any rights, preferences and privileges as they may designate;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the authorized number of directors may be changed only by resolution of the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all vacancies, including newly created directorships, may, except as otherwise required by law, be filled by the affirmative vote of a majority of directors then in office, even if less than a quorum;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divide the board of directors into three classes;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a director may only be removed from the board of directors by the stockholders for cause;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 that any action to be taken by our stockholders must be effected at a duly called annual or special meeting of stockholders, and may not be taken by written consent;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prevent cumulative voting rights (therefore allowing the holders of a plurality of the shares of common stock entitled to vote in any election of directors to elect all of the directors standing for election, if they should so choose);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 that, to the fullest extent permitted by law, a stockholder reimburse us for all fees, costs and expenses incurred by us in connection with a proceeding initiated by such stockholder in which such stockholder does not obtain a judgment on the merits that substantially achieves the full remedy sought;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special meetings of our stockholders may be called only by the chairman of the board, our Chief Executive Officer (or president, in the absence of a chief executive officer) or by the board of directors;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stockholders will be permitted to amend the bylaws only upon receiving at least two-thirds of the total votes entitled to be cast by holders of all outstanding shares then entitled to vote generally in the election of directors, voting together as a single class.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*Our certificate of incorporation and by-laws designate certain courts as the sole and exclusive forums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certificate of incorporation and by-laws provide that, unless we consent in writing to the selection of an alternative forum, the Court of Chancery of the State of Delaware is the sole and exclusive forum for any state law claims for any derivative action or proceeding brought on our behalf alleging state law claims, any action asserting a breach of fiduciary duty, any action asserting a claim against us arising pursuant to the Delaware General Corporation Law, our certificate of incorporation or our by-laws, any action to interpret, apply, enforce, or determine the validity of our certificate of incorporation or bylaws, or any action asserting a claim against us that is governed by the internal affairs doctrine (the “Delaware Forum Provision”). The Delaware Forum Provision does not apply to claims arising under the Exchange Act or the Securities Act. Our by-laws further provide that the U.S. federal district courts will be the sole and exclusive forum for resolving any complaint asserting a cause of action arising under the Exchange Act or the Securities Act (the “Federal Forum Provision”). Our by-laws provide that any person or entity purchasing or otherwise acquiring any interest in any shares of our common stock is deemed to have notice of and consented to the foregoing Delaware Forum Provision and the Federal Forum Provision.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Delaware Forum Provision and the Federal Forum Provision may impose additional litigation costs on stockholders in pursuing the claims identified above, particularly if the stockholders do not reside in or near the State of Delaware or near a U.S. federal district court. Additionally, the Delaware Forum Provision and the Federal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Delaware Forum Provision and the Federal Forum Provision to be inapplicable or unenforceable in an action, we may incur additional costs associated with resolving such action in other jurisdictions, which could adversely affect our business and financial condition. The Court of Chancery of the State of Delaware or a U.S. federal district court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Tax Matters</w:t>
      </w:r>
    </w:p>
    <w:p>
      <w:pPr>
        <w:pStyle w:val="TextBody"/>
        <w:bidi w:val="0"/>
        <w:spacing w:before="120" w:after="283"/>
        <w:jc w:val="both"/>
        <w:rPr>
          <w:rFonts w:ascii="Times New Roman" w:hAnsi="Times New Roman"/>
          <w:sz w:val="20"/>
        </w:rPr>
      </w:pPr>
      <w:r>
        <w:rPr>
          <w:rFonts w:ascii="Times New Roman" w:hAnsi="Times New Roman"/>
          <w:b/>
          <w:i/>
          <w:color w:val="000000"/>
          <w:sz w:val="20"/>
        </w:rPr>
        <w:t>Changes in tax law may adversely affect our business and financial condition.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laws and rules dealing with U.S. federal, state and local income taxation are routinely being reviewed and modified by governmental bodies, officials and regulatory agencies, including the Internal Revenue Service and the U.S. Treasury Department. Changes to tax laws (which changes may have retroactive application), including with respect to net operating losses and research and development tax credits, could adversely affect us or holders of our common stock. For example, the One Big Beautiful Bill Act (“OBBBA”) was signed into law on July 4, 2025 and made significant changes to U.S. federal tax law. Under Section 174 of the Code, in taxable years beginning after December 31, 2021, expenses that are incurred for research and development performed outside the U.S. will be capitalized and amortized. The OBBBA provides that for taxable years beginning after December 31, 2024, expenses that are incurred for research and development performed in the U.S. may, at the taxpayer’s election, be immediately deducted or capitalized and amortized. In addition, the new tax legislation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to tax laws have been made and changes are likely to occur in the future. We cannot predict whether, when, in what form, or with what effective dates, tax laws, regulations and rulings may be enacted, promulgated or issued, that could result in an increase in our or our stockholders’ tax liability. Future changes in tax law could have a material adverse effect on our business, cash flow, financial condition or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use our net operating loss (</w:t>
      </w:r>
      <w:r>
        <w:rPr>
          <w:rFonts w:ascii="Times New Roman" w:hAnsi="Times New Roman"/>
          <w:color w:val="000000"/>
          <w:sz w:val="20"/>
        </w:rPr>
        <w:t>“</w:t>
      </w:r>
      <w:r>
        <w:rPr>
          <w:rFonts w:ascii="Times New Roman" w:hAnsi="Times New Roman"/>
          <w:b/>
          <w:i/>
          <w:color w:val="000000"/>
          <w:sz w:val="20"/>
        </w:rPr>
        <w:t>NOL</w:t>
      </w:r>
      <w:r>
        <w:rPr>
          <w:rFonts w:ascii="Times New Roman" w:hAnsi="Times New Roman"/>
          <w:color w:val="000000"/>
          <w:sz w:val="20"/>
        </w:rPr>
        <w:t>”</w:t>
      </w:r>
      <w:r>
        <w:rPr>
          <w:rFonts w:ascii="Times New Roman" w:hAnsi="Times New Roman"/>
          <w:b/>
          <w:i/>
          <w:color w:val="000000"/>
          <w:sz w:val="20"/>
        </w:rPr>
        <w:t>) carryforwards and certain other tax attributes may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As of December 31, 2025, we had federal and state NOLs of $1,671.3 million and $1,678.0 million, respectively, some of which begin to expire in 2034. Federal and certain state NOLs generated in taxable years ending after December 31, 2017 are not subject to expiration. As of December 31, 2025, we had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and state research and development and other credit carryforwards of approximately $175.5 million and $86.4 million, which begin to expire in 2034 and 2029, respectively. Under Sections 382 and 383 of the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and development tax credits) to offset its post-change income or taxes may be limited. We completed an assessment of the available net operating loss carryforwards and other tax attributes under Section 382 through December 31, 2025. The analysis did not result in a material limitation to our tax attributes and the results of this analysis are reflected herein. To the extent there has been an ownership change, our tax attributes could be subject to limitation. We may experience ownership changes in the future. As a result of a future ownership change, if we earn net taxable income, our ability to use our pre-change NOLs and research and development tax credits to offset such taxable income and income tax, respectively, could be subject to limitations. Similar provisions of state tax law may also apply. As a result, even if we attain profitability, we may be unable to use a material portion of our NOLs and other tax attributes.</w:t>
      </w:r>
    </w:p>
    <w:p>
      <w:pPr>
        <w:pStyle w:val="TextBody"/>
        <w:bidi w:val="0"/>
        <w:spacing w:before="240" w:after="283"/>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color w:val="000000"/>
          <w:sz w:val="20"/>
        </w:rPr>
      </w:pPr>
      <w:bookmarkStart w:id="16" w:name="toc_page"/>
      <w:bookmarkEnd w:id="16"/>
      <w:r>
        <w:rPr>
          <w:rFonts w:ascii="Times New Roman" w:hAnsi="Times New Roman"/>
          <w:b/>
          <w:color w:val="000000"/>
          <w:sz w:val="20"/>
        </w:rPr>
        <w:t>Item 5. Other 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Rule 10b5-1 Trading Plans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describes for the three months ended June 30, 2026 each trading arrangement under which the Company’s directors or officers adopted, materially modified, or terminated any contract, instruction, or written plan for the purchase or sale of Company securities that was intended to satisfy the affirmative defense conditions of Rule 10b5-1(c) or any non-Rule 10b5-1 trading arrangement.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79"/>
        <w:gridCol w:w="1284"/>
        <w:gridCol w:w="1369"/>
        <w:gridCol w:w="1395"/>
        <w:gridCol w:w="3654"/>
        <w:gridCol w:w="1224"/>
      </w:tblGrid>
      <w:tr>
        <w:trPr/>
        <w:tc>
          <w:tcPr>
            <w:tcW w:w="127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1279" w:type="dxa"/>
            <w:tcBorders>
              <w:top w:val="single" w:sz="18" w:space="0" w:color="000000"/>
              <w:left w:val="single" w:sz="18" w:space="0" w:color="000000"/>
              <w:bottom w:val="single" w:sz="4" w:space="0" w:color="000000"/>
              <w:right w:val="single" w:sz="4" w:space="0" w:color="000000"/>
            </w:tcBorders>
            <w:shd w:fill="A6A6A6" w:val="cle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Name</w:t>
            </w:r>
            <w:r>
              <w:rPr>
                <w:rFonts w:ascii="Times New Roman" w:hAnsi="Times New Roman"/>
                <w:color w:val="000000"/>
                <w:sz w:val="18"/>
              </w:rPr>
              <w:t> </w:t>
            </w:r>
            <w:r>
              <w:rPr>
                <w:rFonts w:ascii="Times New Roman" w:hAnsi="Times New Roman"/>
                <w:b/>
                <w:i/>
                <w:color w:val="000000"/>
                <w:sz w:val="18"/>
              </w:rPr>
              <w:t>(Title)</w:t>
            </w:r>
          </w:p>
        </w:tc>
        <w:tc>
          <w:tcPr>
            <w:tcW w:w="1284" w:type="dxa"/>
            <w:tcBorders>
              <w:top w:val="single" w:sz="18" w:space="0" w:color="000000"/>
              <w:bottom w:val="single" w:sz="4" w:space="0" w:color="000000"/>
              <w:right w:val="single" w:sz="4" w:space="0" w:color="000000"/>
            </w:tcBorders>
            <w:shd w:fill="A6A6A6" w:val="clear"/>
            <w:tcMar>
              <w:lef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Action Taken</w:t>
            </w:r>
            <w:r>
              <w:rPr>
                <w:rFonts w:ascii="Times New Roman" w:hAnsi="Times New Roman"/>
                <w:color w:val="000000"/>
                <w:sz w:val="18"/>
              </w:rPr>
              <w:t> </w:t>
            </w:r>
            <w:r>
              <w:rPr>
                <w:rFonts w:ascii="Times New Roman" w:hAnsi="Times New Roman"/>
                <w:b/>
                <w:i/>
                <w:color w:val="000000"/>
                <w:sz w:val="18"/>
              </w:rPr>
              <w:t>(Date of Action)</w:t>
            </w:r>
          </w:p>
        </w:tc>
        <w:tc>
          <w:tcPr>
            <w:tcW w:w="1369" w:type="dxa"/>
            <w:tcBorders>
              <w:top w:val="single" w:sz="18" w:space="0" w:color="000000"/>
              <w:bottom w:val="single" w:sz="4" w:space="0" w:color="000000"/>
              <w:right w:val="single" w:sz="4" w:space="0" w:color="000000"/>
            </w:tcBorders>
            <w:shd w:fill="A6A6A6"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Type of Trading Arrangement</w:t>
            </w:r>
          </w:p>
        </w:tc>
        <w:tc>
          <w:tcPr>
            <w:tcW w:w="1395" w:type="dxa"/>
            <w:tcBorders>
              <w:top w:val="single" w:sz="18" w:space="0" w:color="000000"/>
              <w:bottom w:val="single" w:sz="4" w:space="0" w:color="000000"/>
              <w:right w:val="single" w:sz="4" w:space="0" w:color="000000"/>
            </w:tcBorders>
            <w:shd w:fill="A6A6A6"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Nature of Trading Arrangement</w:t>
            </w:r>
          </w:p>
        </w:tc>
        <w:tc>
          <w:tcPr>
            <w:tcW w:w="3654" w:type="dxa"/>
            <w:tcBorders>
              <w:top w:val="single" w:sz="18" w:space="0" w:color="000000"/>
              <w:bottom w:val="single" w:sz="4" w:space="0" w:color="000000"/>
              <w:right w:val="single" w:sz="4" w:space="0" w:color="000000"/>
            </w:tcBorders>
            <w:shd w:fill="A6A6A6"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Duration of Trading Arrangement</w:t>
            </w:r>
          </w:p>
        </w:tc>
        <w:tc>
          <w:tcPr>
            <w:tcW w:w="1224" w:type="dxa"/>
            <w:tcBorders>
              <w:top w:val="single" w:sz="18" w:space="0" w:color="000000"/>
              <w:bottom w:val="single" w:sz="4" w:space="0" w:color="000000"/>
              <w:right w:val="single" w:sz="18" w:space="0" w:color="000000"/>
            </w:tcBorders>
            <w:shd w:fill="A6A6A6"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 Number of Securities</w:t>
            </w:r>
          </w:p>
        </w:tc>
      </w:tr>
      <w:tr>
        <w:trPr/>
        <w:tc>
          <w:tcPr>
            <w:tcW w:w="1279" w:type="dxa"/>
            <w:tcBorders>
              <w:left w:val="single" w:sz="18" w:space="0" w:color="000000"/>
              <w:bottom w:val="single" w:sz="18"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John M. Leonard</w:t>
            </w:r>
            <w:r>
              <w:rPr>
                <w:rFonts w:ascii="Times New Roman" w:hAnsi="Times New Roman"/>
                <w:color w:val="000000"/>
                <w:sz w:val="20"/>
              </w:rPr>
              <w:t xml:space="preserve"> </w:t>
            </w:r>
            <w:r>
              <w:rPr>
                <w:rFonts w:ascii="Times New Roman" w:hAnsi="Times New Roman"/>
                <w:i/>
                <w:color w:val="000000"/>
                <w:sz w:val="18"/>
              </w:rPr>
              <w:t>(President, CEO)</w:t>
            </w:r>
          </w:p>
        </w:tc>
        <w:tc>
          <w:tcPr>
            <w:tcW w:w="1284"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 xml:space="preserve">Modification </w:t>
            </w:r>
            <w:r>
              <w:rPr>
                <w:rFonts w:ascii="Times New Roman" w:hAnsi="Times New Roman"/>
                <w:i/>
                <w:color w:val="000000"/>
                <w:sz w:val="18"/>
              </w:rPr>
              <w:t>(May 21, 2026)</w:t>
            </w:r>
          </w:p>
        </w:tc>
        <w:tc>
          <w:tcPr>
            <w:tcW w:w="1369"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Rule 10b5-1 trading arrangement</w:t>
            </w:r>
          </w:p>
        </w:tc>
        <w:tc>
          <w:tcPr>
            <w:tcW w:w="1395"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Sale</w:t>
            </w:r>
          </w:p>
        </w:tc>
        <w:tc>
          <w:tcPr>
            <w:tcW w:w="3654"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Until the earlier of (a) the close of trading on December 18, 2028; (b) the date that all shares of stock subject to the trading plan have been sold; and (c) the date on which the plan holder gives notice to terminate the plan.</w:t>
            </w:r>
          </w:p>
        </w:tc>
        <w:tc>
          <w:tcPr>
            <w:tcW w:w="1224"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245,192</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7" w:name="item_6_exhibits_"/>
      <w:bookmarkEnd w:id="17"/>
      <w:r>
        <w:rPr>
          <w:rFonts w:ascii="Times New Roman" w:hAnsi="Times New Roman"/>
          <w:b/>
          <w:color w:val="000000"/>
          <w:sz w:val="20"/>
        </w:rPr>
        <w:t>Item 6. Exhibits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exhibits are incorporated by reference or filed as part of this report.</w:t>
      </w:r>
    </w:p>
    <w:tbl>
      <w:tblPr>
        <w:tblW w:w="10205" w:type="dxa"/>
        <w:jc w:val="left"/>
        <w:tblInd w:w="0" w:type="dxa"/>
        <w:tblLayout w:type="fixed"/>
        <w:tblCellMar>
          <w:top w:w="28" w:type="dxa"/>
          <w:left w:w="28" w:type="dxa"/>
          <w:bottom w:w="28" w:type="dxa"/>
          <w:right w:w="28" w:type="dxa"/>
        </w:tblCellMar>
      </w:tblPr>
      <w:tblGrid>
        <w:gridCol w:w="621"/>
        <w:gridCol w:w="146"/>
        <w:gridCol w:w="9438"/>
      </w:tblGrid>
      <w:tr>
        <w:trPr/>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38" w:type="dxa"/>
            <w:tcBorders/>
            <w:vAlign w:val="center"/>
          </w:tcPr>
          <w:p>
            <w:pPr>
              <w:pStyle w:val="TableContents"/>
              <w:bidi w:val="0"/>
              <w:spacing w:before="0" w:after="283"/>
              <w:jc w:val="left"/>
              <w:rPr>
                <w:sz w:val="4"/>
                <w:szCs w:val="4"/>
              </w:rPr>
            </w:pPr>
            <w:r>
              <w:rPr>
                <w:sz w:val="4"/>
                <w:szCs w:val="4"/>
              </w:rPr>
            </w:r>
          </w:p>
        </w:tc>
      </w:tr>
      <w:tr>
        <w:trPr/>
        <w:tc>
          <w:tcPr>
            <w:tcW w:w="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jc w:val="left"/>
              <w:rPr/>
            </w:pPr>
            <w:hyperlink r:id="rId2">
              <w:r>
                <w:rPr>
                  <w:rStyle w:val="InternetLink"/>
                  <w:rFonts w:ascii="Times New Roman" w:hAnsi="Times New Roman"/>
                  <w:color w:val="000000"/>
                  <w:sz w:val="20"/>
                </w:rPr>
                <w:t>Second Amended and Restated Certificate of Incorporation of the Registrant, as amended (incorporated by reference to Exhibit 3.1 to the Registrant's Annual Report on Form 10-K (File No. 001-37766) filed with the Securities and Exchange Commission on February 26, 2026).</w:t>
              </w:r>
            </w:hyperlink>
          </w:p>
          <w:p>
            <w:pPr>
              <w:pStyle w:val="TableContents"/>
              <w:bidi w:val="0"/>
              <w:spacing w:before="0" w:after="283"/>
              <w:jc w:val="left"/>
              <w:rPr/>
            </w:pPr>
            <w:r>
              <w:rPr/>
              <w:t> </w:t>
            </w:r>
          </w:p>
        </w:tc>
      </w:tr>
      <w:tr>
        <w:trPr/>
        <w:tc>
          <w:tcPr>
            <w:tcW w:w="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80"/>
                  <w:sz w:val="20"/>
                </w:rPr>
                <w:t>Fourth Amended and Restated By-laws of the Registrant dated April 7, 2026 (incorporated by reference to Exhibit 3.1 to the Registrant’s Current Report on Form 8-K (File No. 001-37766) filed with the Securities and Exchange Commission on April 10, 2026)</w:t>
              </w:r>
            </w:hyperlink>
            <w:r>
              <w:rPr>
                <w:rFonts w:ascii="Times New Roman" w:hAnsi="Times New Roman"/>
                <w:color w:val="000000"/>
                <w:sz w:val="20"/>
              </w:rPr>
              <w:t xml:space="preserve">. </w:t>
            </w:r>
          </w:p>
        </w:tc>
      </w:tr>
      <w:tr>
        <w:trPr/>
        <w:tc>
          <w:tcPr>
            <w:tcW w:w="62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00"/>
                  <w:sz w:val="20"/>
                </w:rPr>
                <w:t>Eighth Amended and Restated Non-Employee Director Compensation Policy, effective April 15, 2026 (incorporated by reference to Exhibit 10.1 to the Registrant’s Quarterly Report on Form 10-Q (File No. 001-37766) filed with the Securities and Exchange Commission on May 11, 2026).</w:t>
              </w:r>
            </w:hyperlink>
          </w:p>
        </w:tc>
      </w:tr>
      <w:tr>
        <w:trPr/>
        <w:tc>
          <w:tcPr>
            <w:tcW w:w="62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00"/>
                  <w:sz w:val="20"/>
                </w:rPr>
                <w:t>Fourth Amended and Restated Corporate Bonus Plan, effective April 15, 2026 (incorporated by reference to Exhibit 10.2 to the Registrant’s Quarterly Report on Form 10-Q (File No. 001-37766) filed with the Securities and Exchange Commission on May 11, 2026).</w:t>
              </w:r>
            </w:hyperlink>
          </w:p>
        </w:tc>
      </w:tr>
      <w:tr>
        <w:trPr/>
        <w:tc>
          <w:tcPr>
            <w:tcW w:w="62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both"/>
              <w:rPr/>
            </w:pPr>
            <w:hyperlink w:anchor="ntla-ex10_3.htm">
              <w:r>
                <w:rPr>
                  <w:rStyle w:val="InternetLink"/>
                  <w:rFonts w:ascii="Times New Roman" w:hAnsi="Times New Roman"/>
                  <w:color w:val="000080"/>
                  <w:sz w:val="20"/>
                </w:rPr>
                <w:t>Lease Termination Agreement, by and between the Registrant and MIT 130 Brookline Leasehold LLC, dated as of April 1, 2026</w:t>
              </w:r>
            </w:hyperlink>
            <w:r>
              <w:rPr>
                <w:rFonts w:ascii="Times New Roman" w:hAnsi="Times New Roman"/>
                <w:color w:val="000000"/>
                <w:sz w:val="20"/>
              </w:rPr>
              <w:t>. (1)</w:t>
            </w:r>
          </w:p>
        </w:tc>
      </w:tr>
      <w:tr>
        <w:trPr/>
        <w:tc>
          <w:tcPr>
            <w:tcW w:w="62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both"/>
              <w:rPr/>
            </w:pPr>
            <w:hyperlink w:anchor="ntla-ex31_1.htm">
              <w:r>
                <w:rPr>
                  <w:rStyle w:val="InternetLink"/>
                  <w:rFonts w:ascii="Times New Roman" w:hAnsi="Times New Roman"/>
                  <w:color w:val="000000"/>
                  <w:sz w:val="20"/>
                </w:rPr>
                <w:t>Certification of the Chief Executive Officer pursuant to Rules 13a-14(a) or 15d-14(a) of the Securities Exchange Act of 1934, as adopted pursuant to Section 302 of the Sarbanes-Oxley Act of 2002. (1)</w:t>
              </w:r>
            </w:hyperlink>
          </w:p>
        </w:tc>
      </w:tr>
      <w:tr>
        <w:trPr/>
        <w:tc>
          <w:tcPr>
            <w:tcW w:w="62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both"/>
              <w:rPr/>
            </w:pPr>
            <w:hyperlink w:anchor="ntla-ex31_2.htm">
              <w:r>
                <w:rPr>
                  <w:rStyle w:val="InternetLink"/>
                  <w:rFonts w:ascii="Times New Roman" w:hAnsi="Times New Roman"/>
                  <w:color w:val="000000"/>
                  <w:sz w:val="20"/>
                </w:rPr>
                <w:t>Certification of the Chief Financial Officer pursuant to Rules 13a-14(a) or 15d-14(a) of the Securities Exchange Act of 1934, as adopted pursuant to Section 302 of the Sarbanes-Oxley Act of 2002. (1)</w:t>
              </w:r>
            </w:hyperlink>
          </w:p>
        </w:tc>
      </w:tr>
      <w:tr>
        <w:trPr/>
        <w:tc>
          <w:tcPr>
            <w:tcW w:w="62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both"/>
              <w:rPr/>
            </w:pPr>
            <w:hyperlink w:anchor="ntla-ex32_1.htm">
              <w:r>
                <w:rPr>
                  <w:rStyle w:val="InternetLink"/>
                  <w:rFonts w:ascii="Times New Roman" w:hAnsi="Times New Roman"/>
                  <w:color w:val="000000"/>
                  <w:sz w:val="20"/>
                </w:rPr>
                <w:t>Certifications pursuant to 18 U.S.C. Section 1350, as adopted pursuant to Section 906 of The Sarbanes-Oxley Act of 2002, by John M. Leonard, M.D., President and Chief Executive Officer of the Company, and Edward J. Dulac III, Executive Vice President, Chief Financial Officer of the Company. (2)</w:t>
              </w:r>
            </w:hyperlink>
          </w:p>
        </w:tc>
      </w:tr>
      <w:tr>
        <w:trPr/>
        <w:tc>
          <w:tcPr>
            <w:tcW w:w="62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(1)</w:t>
            </w:r>
          </w:p>
        </w:tc>
      </w:tr>
      <w:tr>
        <w:trPr/>
        <w:tc>
          <w:tcPr>
            <w:tcW w:w="62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 (1)</w:t>
            </w:r>
          </w:p>
        </w:tc>
      </w:tr>
      <w:tr>
        <w:trPr/>
        <w:tc>
          <w:tcPr>
            <w:tcW w:w="62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 (1)</w:t>
            </w:r>
          </w:p>
        </w:tc>
      </w:tr>
    </w:tbl>
    <w:p>
      <w:pPr>
        <w:pStyle w:val="TextBody"/>
        <w:pBdr>
          <w:bottom w:val="single" w:sz="4" w:space="1" w:color="000000"/>
        </w:pBdr>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Indicates a management contract or any compensatory plan, contract or arrangement.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Filed with this Quarterly Report on Form 10-Q.</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August 6, 2026</w:t>
      </w:r>
    </w:p>
    <w:p>
      <w:pPr>
        <w:pStyle w:val="TextBody"/>
        <w:bidi w:val="0"/>
        <w:jc w:val="both"/>
        <w:rPr/>
      </w:pPr>
      <w:r>
        <w:rPr/>
        <w:t> </w:t>
      </w:r>
    </w:p>
    <w:tbl>
      <w:tblPr>
        <w:tblW w:w="5000" w:type="dxa"/>
        <w:jc w:val="left"/>
        <w:tblInd w:w="0" w:type="dxa"/>
        <w:tblLayout w:type="fixed"/>
        <w:tblCellMar>
          <w:top w:w="28" w:type="dxa"/>
          <w:left w:w="28" w:type="dxa"/>
          <w:bottom w:w="28" w:type="dxa"/>
          <w:right w:w="28" w:type="dxa"/>
        </w:tblCellMar>
      </w:tblPr>
      <w:tblGrid>
        <w:gridCol w:w="161"/>
        <w:gridCol w:w="146"/>
        <w:gridCol w:w="406"/>
        <w:gridCol w:w="146"/>
        <w:gridCol w:w="41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69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INTELLIA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John M. Leonard</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John M. Leonard, M.D.</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President and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Edward J. Dulac III</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Edward J. Dulac III</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/s/ Michael P. Dube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Michael P. Dube</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Vice President, Chief Accounting Officer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Accounting Officer)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color w:val="000000"/>
          <w:sz w:val="22"/>
          <w:u w:val="single"/>
        </w:rPr>
      </w:pPr>
      <w:bookmarkStart w:id="19" w:name="ntla-ex10_3.htm"/>
      <w:bookmarkStart w:id="20" w:name="ksntlaex10_3"/>
      <w:bookmarkEnd w:id="19"/>
      <w:bookmarkEnd w:id="20"/>
      <w:r>
        <w:rPr>
          <w:rFonts w:ascii="Times New Roman" w:hAnsi="Times New Roman"/>
          <w:color w:val="000000"/>
          <w:sz w:val="22"/>
          <w:u w:val="single"/>
        </w:rPr>
        <w:t>EXHIBIT 10.3</w:t>
      </w:r>
      <w:r>
        <w:br w:type="page"/>
      </w:r>
    </w:p>
    <w:p>
      <w:pPr>
        <w:pStyle w:val="TextBody"/>
        <w:bidi w:val="0"/>
        <w:spacing w:before="0" w:after="120"/>
        <w:jc w:val="center"/>
        <w:rPr>
          <w:rFonts w:ascii="Times New Roman" w:hAnsi="Times New Roman"/>
          <w:color w:val="000000"/>
          <w:sz w:val="22"/>
          <w:u w:val="single"/>
        </w:rPr>
      </w:pPr>
      <w:r>
        <w:rPr>
          <w:rFonts w:ascii="Times New Roman" w:hAnsi="Times New Roman"/>
          <w:color w:val="000000"/>
          <w:sz w:val="22"/>
          <w:u w:val="single"/>
        </w:rPr>
        <w:t>LEASE TERMINATION AGREEMENT</w:t>
      </w:r>
    </w:p>
    <w:p>
      <w:pPr>
        <w:pStyle w:val="TextBody"/>
        <w:bidi w:val="0"/>
        <w:spacing w:before="0" w:after="120"/>
        <w:jc w:val="center"/>
        <w:rPr/>
      </w:pPr>
      <w:r>
        <w:rPr/>
        <w:t> </w:t>
      </w:r>
    </w:p>
    <w:p>
      <w:pPr>
        <w:pStyle w:val="TextBody"/>
        <w:bidi w:val="0"/>
        <w:spacing w:before="0" w:after="120"/>
        <w:jc w:val="both"/>
        <w:rPr>
          <w:rFonts w:ascii="Times New Roman" w:hAnsi="Times New Roman"/>
          <w:sz w:val="20"/>
        </w:rPr>
      </w:pPr>
      <w:r>
        <w:rPr>
          <w:rFonts w:ascii="Times New Roman" w:hAnsi="Times New Roman"/>
          <w:color w:val="000000"/>
          <w:sz w:val="22"/>
        </w:rPr>
        <w:t>This Lease Termination Agreement (this "</w:t>
      </w:r>
      <w:r>
        <w:rPr>
          <w:rFonts w:ascii="Times New Roman" w:hAnsi="Times New Roman"/>
          <w:b/>
          <w:color w:val="000000"/>
          <w:sz w:val="22"/>
          <w:u w:val="single"/>
        </w:rPr>
        <w:t>Agreement</w:t>
      </w:r>
      <w:r>
        <w:rPr>
          <w:rFonts w:ascii="Times New Roman" w:hAnsi="Times New Roman"/>
          <w:color w:val="000000"/>
          <w:sz w:val="22"/>
        </w:rPr>
        <w:t>"), dated as of April 1, 2026, is entered into by and between MIT 130 BROOKLINE LEASEHOLD LLC, a Massachusetts limited liability company with an address c/o MIT Cambridge Real Estate LLC, One Broadway, Suite 09-200, Cambridge, MA 02142 ("</w:t>
      </w:r>
      <w:r>
        <w:rPr>
          <w:rFonts w:ascii="Times New Roman" w:hAnsi="Times New Roman"/>
          <w:b/>
          <w:color w:val="000000"/>
          <w:sz w:val="22"/>
          <w:u w:val="single"/>
        </w:rPr>
        <w:t>Landlord</w:t>
      </w:r>
      <w:r>
        <w:rPr>
          <w:rFonts w:ascii="Times New Roman" w:hAnsi="Times New Roman"/>
          <w:color w:val="000000"/>
          <w:sz w:val="22"/>
        </w:rPr>
        <w:t>"), and INTELLIA THERAPEUTICS, INC., a Delaware corporation with an address of 40 Erie Street, Cambridge, MA 02139 ("</w:t>
      </w:r>
      <w:r>
        <w:rPr>
          <w:rFonts w:ascii="Times New Roman" w:hAnsi="Times New Roman"/>
          <w:b/>
          <w:color w:val="000000"/>
          <w:sz w:val="22"/>
          <w:u w:val="single"/>
        </w:rPr>
        <w:t>Tenant</w:t>
      </w:r>
      <w:r>
        <w:rPr>
          <w:rFonts w:ascii="Times New Roman" w:hAnsi="Times New Roman"/>
          <w:color w:val="000000"/>
          <w:sz w:val="22"/>
        </w:rPr>
        <w:t>").</w:t>
      </w:r>
    </w:p>
    <w:p>
      <w:pPr>
        <w:pStyle w:val="TextBody"/>
        <w:bidi w:val="0"/>
        <w:spacing w:before="0" w:after="120"/>
        <w:jc w:val="both"/>
        <w:rPr>
          <w:rFonts w:ascii="Times New Roman" w:hAnsi="Times New Roman"/>
          <w:sz w:val="20"/>
        </w:rPr>
      </w:pPr>
      <w:r>
        <w:rPr>
          <w:rFonts w:ascii="Times New Roman" w:hAnsi="Times New Roman"/>
          <w:color w:val="000000"/>
          <w:sz w:val="22"/>
        </w:rPr>
        <w:t>WHEREAS, Landlord and Tenant are the current parties to that certain Lease dated October 21, 2014, as amended by that certain First Amendment to Lease dated as of April 5, 2019, and as further amended by that certain Second Amendment to Lease (the “</w:t>
      </w:r>
      <w:r>
        <w:rPr>
          <w:rFonts w:ascii="Times New Roman" w:hAnsi="Times New Roman"/>
          <w:b/>
          <w:color w:val="000000"/>
          <w:sz w:val="22"/>
          <w:u w:val="single"/>
        </w:rPr>
        <w:t>Second Amendment</w:t>
      </w:r>
      <w:r>
        <w:rPr>
          <w:rFonts w:ascii="Times New Roman" w:hAnsi="Times New Roman"/>
          <w:color w:val="000000"/>
          <w:sz w:val="20"/>
        </w:rPr>
        <w:t>”</w:t>
      </w:r>
      <w:r>
        <w:rPr>
          <w:rFonts w:ascii="Times New Roman" w:hAnsi="Times New Roman"/>
          <w:color w:val="000000"/>
          <w:sz w:val="22"/>
        </w:rPr>
        <w:t>) dated as of March 12, 2020 (collectively, the "</w:t>
      </w:r>
      <w:r>
        <w:rPr>
          <w:rFonts w:ascii="Times New Roman" w:hAnsi="Times New Roman"/>
          <w:b/>
          <w:color w:val="000000"/>
          <w:sz w:val="22"/>
          <w:u w:val="single"/>
        </w:rPr>
        <w:t>Lease</w:t>
      </w:r>
      <w:r>
        <w:rPr>
          <w:rFonts w:ascii="Times New Roman" w:hAnsi="Times New Roman"/>
          <w:color w:val="000000"/>
          <w:sz w:val="22"/>
        </w:rPr>
        <w:t>") for premises consisting of approximately 15,169 rentable</w:t>
      </w:r>
      <w:r>
        <w:rPr>
          <w:rFonts w:ascii="Times New Roman" w:hAnsi="Times New Roman"/>
          <w:color w:val="000000"/>
          <w:sz w:val="20"/>
        </w:rPr>
        <w:t xml:space="preserve"> </w:t>
      </w:r>
      <w:r>
        <w:rPr>
          <w:rFonts w:ascii="Times New Roman" w:hAnsi="Times New Roman"/>
          <w:color w:val="000000"/>
          <w:sz w:val="22"/>
        </w:rPr>
        <w:t>square feet of space (as more particularly described in the Lease, the "</w:t>
      </w:r>
      <w:r>
        <w:rPr>
          <w:rFonts w:ascii="Times New Roman" w:hAnsi="Times New Roman"/>
          <w:b/>
          <w:color w:val="000000"/>
          <w:sz w:val="22"/>
          <w:u w:val="single"/>
        </w:rPr>
        <w:t>Premises</w:t>
      </w:r>
      <w:r>
        <w:rPr>
          <w:rFonts w:ascii="Times New Roman" w:hAnsi="Times New Roman"/>
          <w:color w:val="000000"/>
          <w:sz w:val="22"/>
        </w:rPr>
        <w:t>") in the building located at 130 Brookline Street, Cambridge, Massachusetts (the "</w:t>
      </w:r>
      <w:r>
        <w:rPr>
          <w:rFonts w:ascii="Times New Roman" w:hAnsi="Times New Roman"/>
          <w:b/>
          <w:color w:val="000000"/>
          <w:sz w:val="22"/>
          <w:u w:val="single"/>
        </w:rPr>
        <w:t>Building</w:t>
      </w:r>
      <w:r>
        <w:rPr>
          <w:rFonts w:ascii="Times New Roman" w:hAnsi="Times New Roman"/>
          <w:color w:val="000000"/>
          <w:sz w:val="22"/>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WHEREAS, the Lease is scheduled to expire on May 31, 2031;</w:t>
      </w:r>
    </w:p>
    <w:p>
      <w:pPr>
        <w:pStyle w:val="TextBody"/>
        <w:bidi w:val="0"/>
        <w:spacing w:before="0" w:after="120"/>
        <w:jc w:val="both"/>
        <w:rPr>
          <w:rFonts w:ascii="Times New Roman" w:hAnsi="Times New Roman"/>
          <w:sz w:val="20"/>
        </w:rPr>
      </w:pPr>
      <w:r>
        <w:rPr>
          <w:rFonts w:ascii="Times New Roman" w:hAnsi="Times New Roman"/>
          <w:color w:val="000000"/>
          <w:sz w:val="22"/>
        </w:rPr>
        <w:t>WHEREAS, Landlord and Tenant desire to terminate the Lease prior to the end of the Term of the Lease, but only upon compliance with the terms and conditions contained herein;</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WHEREAS, it is the intention of Landlord and Tenant to settle and dispose of, fully and completely, certain claims, demands and cause or causes of action now existing or hereafter arising out of, in connection with, or incidental to the Lease or the Premises; and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WHEREAS, Landlord and Tenant wish to amend the Lease as hereinafter set forth.</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NOW, THEREFORE, for good and valuable consideration, the receipt and sufficiency of which are mutually acknowledged, Landlord and Tenant agree, effective as of the date hereof, as follows: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120"/>
        <w:jc w:val="both"/>
        <w:rPr/>
      </w:pPr>
      <w:r>
        <w:rPr>
          <w:rFonts w:ascii="Times New Roman" w:hAnsi="Times New Roman"/>
          <w:color w:val="000000"/>
          <w:sz w:val="22"/>
          <w:u w:val="single"/>
        </w:rPr>
        <w:t>Recitals; Capitalized Terms</w:t>
      </w:r>
      <w:r>
        <w:rPr>
          <w:rFonts w:ascii="Times New Roman" w:hAnsi="Times New Roman"/>
          <w:color w:val="000000"/>
          <w:sz w:val="22"/>
        </w:rPr>
        <w:t>. The foregoing recitals are hereby incorporated by reference. All capitalized terms not otherwise defined herein shall have the meanings ascribed to them as set forth in the Lease.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120"/>
        <w:jc w:val="both"/>
        <w:rPr/>
      </w:pPr>
      <w:r>
        <w:rPr>
          <w:rFonts w:ascii="Times New Roman" w:hAnsi="Times New Roman"/>
          <w:color w:val="000000"/>
          <w:sz w:val="22"/>
          <w:u w:val="single"/>
        </w:rPr>
        <w:t>Vacation and Surrender of Premises</w:t>
      </w:r>
      <w:r>
        <w:rPr>
          <w:rFonts w:ascii="Times New Roman" w:hAnsi="Times New Roman"/>
          <w:color w:val="000000"/>
          <w:sz w:val="22"/>
        </w:rPr>
        <w:t xml:space="preserve">. Tenant shall fully vacate the Premises on or before </w:t>
      </w:r>
      <w:r>
        <w:rPr>
          <w:rFonts w:ascii="Times New Roman" w:hAnsi="Times New Roman"/>
          <w:b/>
          <w:color w:val="000000"/>
          <w:sz w:val="22"/>
        </w:rPr>
        <w:t>December 31, 2026</w:t>
      </w:r>
      <w:r>
        <w:rPr>
          <w:color w:val="000000"/>
        </w:rPr>
        <w:t xml:space="preserve"> </w:t>
      </w:r>
      <w:r>
        <w:rPr>
          <w:rFonts w:ascii="Times New Roman" w:hAnsi="Times New Roman"/>
          <w:color w:val="000000"/>
          <w:sz w:val="22"/>
        </w:rPr>
        <w:t>(the "</w:t>
      </w:r>
      <w:r>
        <w:rPr>
          <w:rFonts w:ascii="Times New Roman" w:hAnsi="Times New Roman"/>
          <w:b/>
          <w:color w:val="000000"/>
          <w:sz w:val="22"/>
          <w:u w:val="single"/>
        </w:rPr>
        <w:t>Termination Date</w:t>
      </w:r>
      <w:r>
        <w:rPr>
          <w:rFonts w:ascii="Times New Roman" w:hAnsi="Times New Roman"/>
          <w:color w:val="000000"/>
          <w:sz w:val="22"/>
        </w:rPr>
        <w:t xml:space="preserve">"), </w:t>
      </w:r>
      <w:r>
        <w:rPr>
          <w:rFonts w:ascii="Times New Roman" w:hAnsi="Times New Roman"/>
          <w:i/>
          <w:color w:val="000000"/>
          <w:sz w:val="22"/>
        </w:rPr>
        <w:t>time being of the essence</w:t>
      </w:r>
      <w:r>
        <w:rPr>
          <w:rFonts w:ascii="Times New Roman" w:hAnsi="Times New Roman"/>
          <w:color w:val="000000"/>
          <w:sz w:val="22"/>
        </w:rPr>
        <w:t xml:space="preserve">, and thereupon shall surrender and deliver the Premises to Landlord in the condition required pursuant to the applicable provisions of the Lease (including, without limitation, </w:t>
      </w:r>
      <w:r>
        <w:rPr>
          <w:rFonts w:ascii="Times New Roman" w:hAnsi="Times New Roman"/>
          <w:color w:val="000000"/>
          <w:sz w:val="22"/>
          <w:u w:val="single"/>
        </w:rPr>
        <w:t>Section 21.1</w:t>
      </w:r>
      <w:r>
        <w:rPr>
          <w:color w:val="000000"/>
        </w:rPr>
        <w:t xml:space="preserve"> </w:t>
      </w:r>
      <w:r>
        <w:rPr>
          <w:rFonts w:ascii="Times New Roman" w:hAnsi="Times New Roman"/>
          <w:color w:val="000000"/>
          <w:sz w:val="22"/>
        </w:rPr>
        <w:t xml:space="preserve">thereof) with all charges for Rent, utilities and other services rendered to the Premises (or relating thereto) prior to the Termination Date being paid, provided however, to the extent any invoices for utilities and other services rendered to the Premises (or relating thereto) prior to the Termination Date are delivered after the Termination Date, Tenant’s failure to pay such amount by the Termination Date shall not affect the Termination Date, however, Tenant’s obligation to pay for such utilities or services rendered to the Premises (or relating thereto) prior to the Termination Date shall survive the termination of the Lease. Notwithstanding any provisions of the Lease or this Agreement to the contrary, Tenant shall have no further rights with respect to the use of the Premises from and after the Termination Date. Landlord and Tenant hereby acknowledge and agree that, notwithstanding any term or condition of the Lease, including without limitation, Section 21.1 thereof to the contrary, Tenant shall have no obligation to remove (i) any alteration or improvements to the Premises existing as of the date of this Agreement, or (ii) any of the furniture, fixtures, or equipment listed on </w:t>
      </w:r>
      <w:r>
        <w:rPr>
          <w:rFonts w:ascii="Times New Roman" w:hAnsi="Times New Roman"/>
          <w:color w:val="000000"/>
          <w:sz w:val="22"/>
          <w:u w:val="single"/>
        </w:rPr>
        <w:t>Exhibit C</w:t>
      </w:r>
      <w:r>
        <w:rPr>
          <w:color w:val="000000"/>
        </w:rPr>
        <w:t xml:space="preserve"> </w:t>
      </w:r>
      <w:r>
        <w:rPr>
          <w:rFonts w:ascii="Times New Roman" w:hAnsi="Times New Roman"/>
          <w:color w:val="000000"/>
          <w:sz w:val="22"/>
        </w:rPr>
        <w:t xml:space="preserve">attached hereto.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120"/>
        <w:jc w:val="both"/>
        <w:rPr/>
      </w:pPr>
      <w:r>
        <w:rPr>
          <w:rFonts w:ascii="Times New Roman" w:hAnsi="Times New Roman"/>
          <w:color w:val="000000"/>
          <w:sz w:val="22"/>
          <w:u w:val="single"/>
        </w:rPr>
        <w:t>Termination of Lease</w:t>
      </w:r>
      <w:r>
        <w:rPr>
          <w:rFonts w:ascii="Times New Roman" w:hAnsi="Times New Roman"/>
          <w:color w:val="000000"/>
          <w:sz w:val="22"/>
        </w:rPr>
        <w:t xml:space="preserve">. The Lease shall terminate as of 11:59 p.m. on the Termination Date as fully as if the Termination Date had been the expiration date of the Term originally set forth in the Lease. For the avoidance of doubt, (a) Tenant’s rights and obligations with respect to the Premises through the Termination Date shall be governed by the terms of the Lease as amended and affected by this Agreement,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both"/>
        <w:rPr/>
      </w:pPr>
      <w:r>
        <w:rPr>
          <w:rFonts w:ascii="Times New Roman" w:hAnsi="Times New Roman"/>
          <w:color w:val="000000"/>
          <w:sz w:val="22"/>
        </w:rPr>
        <w:t>and accordingly Tenant shall timely perform all obligations of Tenant under the Lease accruing prior to the Termination Date, and (b) Tenant does not have the right to extend the Term of the Lease beyond the Termination Date.</w:t>
      </w:r>
      <w:r>
        <w:rPr>
          <w:color w:val="000000"/>
        </w:rPr>
        <w:t xml:space="preserve">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120"/>
        <w:jc w:val="both"/>
        <w:rPr/>
      </w:pPr>
      <w:r>
        <w:rPr>
          <w:rFonts w:ascii="Times New Roman" w:hAnsi="Times New Roman"/>
          <w:color w:val="000000"/>
          <w:sz w:val="22"/>
          <w:u w:val="single"/>
        </w:rPr>
        <w:t>Termination Payment</w:t>
      </w:r>
      <w:r>
        <w:rPr>
          <w:rFonts w:ascii="Times New Roman" w:hAnsi="Times New Roman"/>
          <w:color w:val="000000"/>
          <w:sz w:val="22"/>
        </w:rPr>
        <w:t xml:space="preserve">. In consideration for the early termination of the Lease, Tenant shall pay to Landlord a termination fee equal to </w:t>
      </w:r>
      <w:r>
        <w:rPr>
          <w:rFonts w:ascii="Times New Roman" w:hAnsi="Times New Roman"/>
          <w:b/>
          <w:color w:val="000000"/>
          <w:sz w:val="22"/>
        </w:rPr>
        <w:t>Three Million Nine Hundred Fourteen Thousand and 00/100 Dollars ($3,914,000.00)</w:t>
      </w:r>
      <w:r>
        <w:rPr>
          <w:color w:val="000000"/>
        </w:rPr>
        <w:t xml:space="preserve"> </w:t>
      </w:r>
      <w:r>
        <w:rPr>
          <w:rFonts w:ascii="Times New Roman" w:hAnsi="Times New Roman"/>
          <w:color w:val="000000"/>
          <w:sz w:val="22"/>
        </w:rPr>
        <w:t>(the “</w:t>
      </w:r>
      <w:r>
        <w:rPr>
          <w:rFonts w:ascii="Times New Roman" w:hAnsi="Times New Roman"/>
          <w:b/>
          <w:color w:val="000000"/>
          <w:sz w:val="22"/>
          <w:u w:val="single"/>
        </w:rPr>
        <w:t>Termination Payment</w:t>
      </w:r>
      <w:r>
        <w:rPr>
          <w:color w:val="000000"/>
        </w:rPr>
        <w:t>”</w:t>
      </w:r>
      <w:r>
        <w:rPr>
          <w:rFonts w:ascii="Times New Roman" w:hAnsi="Times New Roman"/>
          <w:color w:val="000000"/>
          <w:sz w:val="22"/>
        </w:rPr>
        <w:t xml:space="preserve">), which Termination Payment is being accepted by Landlord in lieu of the performance of Tenant’s obligations, monetary or otherwise, under or related to the Lease accruing after the Termination Date, including, without limitation, obligations relating to Rent, utilities, parking, and other services rendered to the Premises (or relating thereto) (i) except as specifically set forth and reserved herein, and (ii) only so long as Tenant performs its remaining obligations under the Lease accruing prior to the Termination Date and its obligations under this Agreement. Fifty percent (50%) of the Termination Payment shall be paid on or before </w:t>
      </w:r>
      <w:r>
        <w:rPr>
          <w:rFonts w:ascii="Times New Roman" w:hAnsi="Times New Roman"/>
          <w:b/>
          <w:color w:val="000000"/>
          <w:sz w:val="22"/>
        </w:rPr>
        <w:t>July 1, 2026</w:t>
      </w:r>
      <w:r>
        <w:rPr>
          <w:rFonts w:ascii="Times New Roman" w:hAnsi="Times New Roman"/>
          <w:color w:val="000000"/>
          <w:sz w:val="22"/>
        </w:rPr>
        <w:t xml:space="preserve">, </w:t>
      </w:r>
      <w:r>
        <w:rPr>
          <w:rFonts w:ascii="Times New Roman" w:hAnsi="Times New Roman"/>
          <w:i/>
          <w:color w:val="000000"/>
          <w:sz w:val="22"/>
        </w:rPr>
        <w:t>time being of the essence</w:t>
      </w:r>
      <w:r>
        <w:rPr>
          <w:rFonts w:ascii="Times New Roman" w:hAnsi="Times New Roman"/>
          <w:color w:val="000000"/>
          <w:sz w:val="22"/>
        </w:rPr>
        <w:t xml:space="preserve">, in accordance with wire instructions provided by Landlord. The remaining fifty percent (50%) of the Termination Payment shall be paid on or before </w:t>
      </w:r>
      <w:r>
        <w:rPr>
          <w:rFonts w:ascii="Times New Roman" w:hAnsi="Times New Roman"/>
          <w:b/>
          <w:color w:val="000000"/>
          <w:sz w:val="22"/>
        </w:rPr>
        <w:t>January 4, 2027</w:t>
      </w:r>
      <w:r>
        <w:rPr>
          <w:rFonts w:ascii="Times New Roman" w:hAnsi="Times New Roman"/>
          <w:color w:val="000000"/>
          <w:sz w:val="22"/>
        </w:rPr>
        <w:t xml:space="preserve">, </w:t>
      </w:r>
      <w:r>
        <w:rPr>
          <w:rFonts w:ascii="Times New Roman" w:hAnsi="Times New Roman"/>
          <w:i/>
          <w:color w:val="000000"/>
          <w:sz w:val="22"/>
        </w:rPr>
        <w:t>time being of the essence</w:t>
      </w:r>
      <w:r>
        <w:rPr>
          <w:rFonts w:ascii="Times New Roman" w:hAnsi="Times New Roman"/>
          <w:color w:val="000000"/>
          <w:sz w:val="22"/>
        </w:rPr>
        <w:t>, in accordance with wire instructions provided by Landlord.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120"/>
        <w:jc w:val="both"/>
        <w:rPr/>
      </w:pPr>
      <w:r>
        <w:rPr>
          <w:rFonts w:ascii="Times New Roman" w:hAnsi="Times New Roman"/>
          <w:color w:val="000000"/>
          <w:sz w:val="22"/>
          <w:u w:val="single"/>
        </w:rPr>
        <w:t>Holdover</w:t>
      </w:r>
      <w:r>
        <w:rPr>
          <w:rFonts w:ascii="Times New Roman" w:hAnsi="Times New Roman"/>
          <w:color w:val="000000"/>
          <w:sz w:val="22"/>
        </w:rPr>
        <w:t xml:space="preserve">. In the event Tenant fails to comply with the terms of this Agreement or repossesses (or attempts to repossess) the Premises, Landlord shall have the right to retain any and all payments made by Tenant pursuant to this Agreement and also shall have any and all other rights and remedies available to Landlord under the Lease, at law and in equity. In addition, Tenant and anyone claiming under Tenant remaining in possession of the Premises or any part thereof after the Termination Date shall be deemed a tenant-at-sufferance only. If Tenant fails to timely perform its obligations under </w:t>
      </w:r>
      <w:r>
        <w:rPr>
          <w:rFonts w:ascii="Times New Roman" w:hAnsi="Times New Roman"/>
          <w:color w:val="000000"/>
          <w:sz w:val="22"/>
          <w:u w:val="single"/>
        </w:rPr>
        <w:t>Section 2</w:t>
      </w:r>
      <w:r>
        <w:rPr>
          <w:color w:val="000000"/>
        </w:rPr>
        <w:t xml:space="preserve"> </w:t>
      </w:r>
      <w:r>
        <w:rPr>
          <w:rFonts w:ascii="Times New Roman" w:hAnsi="Times New Roman"/>
          <w:color w:val="000000"/>
          <w:sz w:val="22"/>
        </w:rPr>
        <w:t xml:space="preserve">above, Tenant shall pay to Landlord, for each day after the Termination Date until such obligations are timely performed, as liquidated damages for the anticipated harm to be caused to Landlord resulting from any failure to timely deliver the Premises to the new tenant, an amount equal to 150% of the daily rate of rent, including additional rent and charges, payable under the Lease for the month in which the Termination Date occurs, with respect to the first ten (10) days, and at a daily rate equal to 200% thereof (or, if lesser, the highest rate chargeable under law) with respect to any period exceeding ten (10) days, and all other conditions of the Lease to be performed by Tenant shall continue in force; provided that, notwithstanding any of the foregoing to the contrary, Tenant shall remain liable for all damages, including without limitation all consequential, indirect and direct damages and lost profits, incurred by Landlord as a result of such failure. Nothing in this Section shall be construed to permit such holding over. Tenant acknowledges that Landlord has entered into a lease of the Premises for a term commencing after the Termination Date and Landlord is relying on Tenant’s timely performance of its obligations under </w:t>
      </w:r>
      <w:r>
        <w:rPr>
          <w:rFonts w:ascii="Times New Roman" w:hAnsi="Times New Roman"/>
          <w:color w:val="000000"/>
          <w:sz w:val="22"/>
          <w:u w:val="single"/>
        </w:rPr>
        <w:t>Section 2</w:t>
      </w:r>
      <w:r>
        <w:rPr>
          <w:color w:val="000000"/>
        </w:rPr>
        <w:t xml:space="preserve"> </w:t>
      </w:r>
      <w:r>
        <w:rPr>
          <w:rFonts w:ascii="Times New Roman" w:hAnsi="Times New Roman"/>
          <w:color w:val="000000"/>
          <w:sz w:val="22"/>
        </w:rPr>
        <w:t xml:space="preserve">above, and Tenant shall be responsible for all costs, expenses, penalties and liabilities incurred by and/or imposed upon Landlord in connection with any delays in delivery to the new tenant arising from Tenant’s failure to timely perform its obligations under </w:t>
      </w:r>
      <w:r>
        <w:rPr>
          <w:rFonts w:ascii="Times New Roman" w:hAnsi="Times New Roman"/>
          <w:color w:val="000000"/>
          <w:sz w:val="22"/>
          <w:u w:val="single"/>
        </w:rPr>
        <w:t>Section 2</w:t>
      </w:r>
      <w:r>
        <w:rPr>
          <w:color w:val="000000"/>
        </w:rPr>
        <w:t xml:space="preserve"> </w:t>
      </w:r>
      <w:r>
        <w:rPr>
          <w:rFonts w:ascii="Times New Roman" w:hAnsi="Times New Roman"/>
          <w:color w:val="000000"/>
          <w:sz w:val="22"/>
        </w:rPr>
        <w:t>above (including without limitation any rent abatements and/or concessions and any lost revenue arising from such tenant’s termination of its lease for late delivery of all or any of the premises demised thereunder).</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120"/>
        <w:jc w:val="both"/>
        <w:rPr/>
      </w:pPr>
      <w:r>
        <w:rPr>
          <w:rFonts w:ascii="Times New Roman" w:hAnsi="Times New Roman"/>
          <w:color w:val="000000"/>
          <w:sz w:val="22"/>
          <w:u w:val="single"/>
        </w:rPr>
        <w:t>Alterations</w:t>
      </w:r>
      <w:r>
        <w:rPr>
          <w:rFonts w:ascii="Times New Roman" w:hAnsi="Times New Roman"/>
          <w:color w:val="000000"/>
          <w:sz w:val="22"/>
        </w:rPr>
        <w:t>. Notwithstanding anything set forth in the Lease to the contrary, Tenant shall not perform any Alterations after the date of this Agreement. The foregoing shall not be deemed to diminish, reduce, amend or otherwise affect Tenant’s repair and maintenance obligations under the Lease.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120"/>
        <w:jc w:val="both"/>
        <w:rPr/>
      </w:pPr>
      <w:r>
        <w:rPr>
          <w:rFonts w:ascii="Times New Roman" w:hAnsi="Times New Roman"/>
          <w:color w:val="000000"/>
          <w:sz w:val="22"/>
          <w:u w:val="single"/>
        </w:rPr>
        <w:t>Transfers</w:t>
      </w:r>
      <w:r>
        <w:rPr>
          <w:rFonts w:ascii="Times New Roman" w:hAnsi="Times New Roman"/>
          <w:color w:val="000000"/>
          <w:sz w:val="22"/>
        </w:rPr>
        <w:t>. Notwithstanding anything set forth in the Lease and/or this Agreement to the contrary, in the event Tenant desires to make any Transfer under the Lease after the date of this Agreement, Tenant shall pay the entire Termination Payment in full prior to the effective date of any such Transfer. Tenant shall not have the right to assign or otherwise transfer any of its rights or obligations under this Agreement other than an entity to which Tenant assigns all of its right, title and interest in and to the Lease and the Premises in accordance with the terms of the Lease.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120"/>
        <w:jc w:val="both"/>
        <w:rPr/>
      </w:pPr>
      <w:r>
        <w:rPr>
          <w:rFonts w:ascii="Times New Roman" w:hAnsi="Times New Roman"/>
          <w:color w:val="000000"/>
          <w:sz w:val="22"/>
          <w:u w:val="single"/>
        </w:rPr>
        <w:t>Right of First Offer</w:t>
      </w:r>
      <w:r>
        <w:rPr>
          <w:rFonts w:ascii="Times New Roman" w:hAnsi="Times New Roman"/>
          <w:color w:val="000000"/>
          <w:sz w:val="22"/>
        </w:rPr>
        <w:t xml:space="preserve">. </w:t>
      </w:r>
      <w:r>
        <w:rPr>
          <w:rFonts w:ascii="Times New Roman" w:hAnsi="Times New Roman"/>
          <w:color w:val="000000"/>
          <w:sz w:val="22"/>
          <w:u w:val="single"/>
        </w:rPr>
        <w:t>Sections 6</w:t>
      </w:r>
      <w:r>
        <w:rPr>
          <w:rFonts w:ascii="Times New Roman" w:hAnsi="Times New Roman"/>
          <w:color w:val="000000"/>
          <w:sz w:val="22"/>
        </w:rPr>
        <w:t xml:space="preserve">, </w:t>
      </w:r>
      <w:r>
        <w:rPr>
          <w:rFonts w:ascii="Times New Roman" w:hAnsi="Times New Roman"/>
          <w:color w:val="000000"/>
          <w:sz w:val="22"/>
          <w:u w:val="single"/>
        </w:rPr>
        <w:t>7</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8</w:t>
      </w:r>
      <w:r>
        <w:rPr>
          <w:color w:val="000000"/>
        </w:rPr>
        <w:t xml:space="preserve"> </w:t>
      </w:r>
      <w:r>
        <w:rPr>
          <w:rFonts w:ascii="Times New Roman" w:hAnsi="Times New Roman"/>
          <w:color w:val="000000"/>
          <w:sz w:val="22"/>
        </w:rPr>
        <w:t>of the Second Amendment are hereby deleted in their entirety and are of no further force and effect.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120"/>
        <w:jc w:val="both"/>
        <w:rPr/>
      </w:pPr>
      <w:r>
        <w:rPr>
          <w:rFonts w:ascii="Times New Roman" w:hAnsi="Times New Roman"/>
          <w:color w:val="000000"/>
          <w:sz w:val="22"/>
          <w:u w:val="single"/>
        </w:rPr>
        <w:t>Summary Process</w:t>
      </w:r>
      <w:r>
        <w:rPr>
          <w:rFonts w:ascii="Times New Roman" w:hAnsi="Times New Roman"/>
          <w:color w:val="000000"/>
          <w:sz w:val="22"/>
        </w:rPr>
        <w:t xml:space="preserve">. If Tenant fails to timely perform its obligations under </w:t>
      </w:r>
      <w:r>
        <w:rPr>
          <w:rFonts w:ascii="Times New Roman" w:hAnsi="Times New Roman"/>
          <w:color w:val="000000"/>
          <w:sz w:val="22"/>
          <w:u w:val="single"/>
        </w:rPr>
        <w:t>Section 2</w:t>
      </w:r>
      <w:r>
        <w:rPr>
          <w:color w:val="000000"/>
        </w:rPr>
        <w:t xml:space="preserve"> </w:t>
      </w:r>
      <w:r>
        <w:rPr>
          <w:rFonts w:ascii="Times New Roman" w:hAnsi="Times New Roman"/>
          <w:color w:val="000000"/>
          <w:sz w:val="22"/>
        </w:rPr>
        <w:t xml:space="preserve">above, Tenant expressly agrees that Landlord may file the summary process summons and complaint attached hereto as </w:t>
      </w:r>
      <w:r>
        <w:rPr>
          <w:rFonts w:ascii="Times New Roman" w:hAnsi="Times New Roman"/>
          <w:color w:val="000000"/>
          <w:sz w:val="22"/>
          <w:u w:val="single"/>
        </w:rPr>
        <w:t>Exhibit A</w:t>
      </w:r>
      <w:r>
        <w:rPr>
          <w:color w:val="000000"/>
        </w:rPr>
        <w:t xml:space="preserve"> </w:t>
      </w:r>
      <w:r>
        <w:rPr>
          <w:rFonts w:ascii="Times New Roman" w:hAnsi="Times New Roman"/>
          <w:color w:val="000000"/>
          <w:sz w:val="22"/>
        </w:rPr>
        <w:t xml:space="preserve">on or after January 11, 2027. Tenant agrees and acknowledges that Landlord may serve on Tenant the summary process summons and complaint by hand delivery to Pierce Atwood LLP, One Financial Center, Boston, Massachusetts 02110, Attention: Christopher J. Dole, Esq. and/or email to cdole@pierceatwood.com at any time after the Termination Date, which service by hand delivery and/or email shall constitute effective service of the summons and complaint. Tenant hereby waives any defenses to Landlord's right to recover possession as of the Termination Date and agrees not to interpose any such defense in any summary process action commenced by Landlord pursuant to this </w:t>
      </w:r>
      <w:r>
        <w:rPr>
          <w:rFonts w:ascii="Times New Roman" w:hAnsi="Times New Roman"/>
          <w:color w:val="000000"/>
          <w:sz w:val="22"/>
          <w:u w:val="single"/>
        </w:rPr>
        <w:t>Section 9</w:t>
      </w:r>
      <w:r>
        <w:rPr>
          <w:rFonts w:ascii="Times New Roman" w:hAnsi="Times New Roman"/>
          <w:color w:val="000000"/>
          <w:sz w:val="22"/>
        </w:rPr>
        <w:t xml:space="preserve">. Concurrently with the filing of the summary process summons and complaint, Landlord shall also have the right to file the Agreement for Judgment of Possession attached hereto as </w:t>
      </w:r>
      <w:r>
        <w:rPr>
          <w:rFonts w:ascii="Times New Roman" w:hAnsi="Times New Roman"/>
          <w:color w:val="000000"/>
          <w:sz w:val="22"/>
          <w:u w:val="single"/>
        </w:rPr>
        <w:t>Exhibit B</w:t>
      </w:r>
      <w:r>
        <w:rPr>
          <w:rFonts w:ascii="Times New Roman" w:hAnsi="Times New Roman"/>
          <w:color w:val="000000"/>
          <w:sz w:val="22"/>
        </w:rPr>
        <w:t>, which Agreement for Judgment of Possession will be executed by Tenant simultaneously with Tenant’s execution of this Agreement. Tenant agrees that Landlord shall be entitled to request that a Writ of Execution (“</w:t>
      </w:r>
      <w:r>
        <w:rPr>
          <w:rFonts w:ascii="Times New Roman" w:hAnsi="Times New Roman"/>
          <w:b/>
          <w:color w:val="000000"/>
          <w:sz w:val="22"/>
          <w:u w:val="single"/>
        </w:rPr>
        <w:t>Execution</w:t>
      </w:r>
      <w:r>
        <w:rPr>
          <w:color w:val="000000"/>
        </w:rPr>
        <w:t>”</w:t>
      </w:r>
      <w:r>
        <w:rPr>
          <w:rFonts w:ascii="Times New Roman" w:hAnsi="Times New Roman"/>
          <w:color w:val="000000"/>
          <w:sz w:val="22"/>
        </w:rPr>
        <w:t>) issue immediately upon the filing of the Agreement for Judgment of Possession in accordance with this Section and Landlord shall have the right to take all steps necessary to recover possession of the Premises.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10.</w:t>
      </w:r>
    </w:p>
    <w:p>
      <w:pPr>
        <w:pStyle w:val="TextBody"/>
        <w:bidi w:val="0"/>
        <w:spacing w:before="0" w:after="120"/>
        <w:jc w:val="both"/>
        <w:rPr/>
      </w:pPr>
      <w:r>
        <w:rPr>
          <w:rFonts w:ascii="Times New Roman" w:hAnsi="Times New Roman"/>
          <w:color w:val="000000"/>
          <w:sz w:val="22"/>
          <w:u w:val="single"/>
        </w:rPr>
        <w:t>Indemnification</w:t>
      </w:r>
      <w:r>
        <w:rPr>
          <w:rFonts w:ascii="Times New Roman" w:hAnsi="Times New Roman"/>
          <w:color w:val="000000"/>
          <w:sz w:val="22"/>
        </w:rPr>
        <w:t xml:space="preserve">. Notwithstanding any other provision of this Agreement (including, without limitation, any releases or waivers) or the Lease to the contrary, Tenant agrees to indemnify, defend and hold Landlord harmless from and against any and all actions, costs, claims, damages, expenses (including without limitation attorneys’, consultants’ and experts’ fees, court costs and amounts paid in settlement of any claims or actions), fines, forfeitures, or other civil, administrative or criminal penalties, injunctive or other relief, liabilities or losses which Landlord may incur with respect to (a) the collection of rent and all other sums due Landlord pursuant to this Agreement, (b) putting the Premises in the condition required at surrender pursuant to the terms of the Lease, as amended and/or modified by this Agreement, if Tenant has failed to do so prior to the Termination Date, (c) the payment of any outstanding charges due from Tenant in connection with utilities and other services rendered to the Premises (or relating thereto) prior to the Termination Date if Tenant has failed to pay same, and (d) the breach or default in the performance of any obligation on Tenant’s part to be performed under the terms of this Agreement. All indemnifications given by Tenant in favor of Landlord in the Lease, Tenant’s obligations with respect to response actions as set forth in </w:t>
      </w:r>
      <w:r>
        <w:rPr>
          <w:rFonts w:ascii="Times New Roman" w:hAnsi="Times New Roman"/>
          <w:color w:val="000000"/>
          <w:sz w:val="22"/>
          <w:u w:val="single"/>
        </w:rPr>
        <w:t>Section 17.5</w:t>
      </w:r>
      <w:r>
        <w:rPr>
          <w:color w:val="000000"/>
        </w:rPr>
        <w:t xml:space="preserve"> </w:t>
      </w:r>
      <w:r>
        <w:rPr>
          <w:rFonts w:ascii="Times New Roman" w:hAnsi="Times New Roman"/>
          <w:color w:val="000000"/>
          <w:sz w:val="22"/>
        </w:rPr>
        <w:t xml:space="preserve">of the Lease, and all obligations of Tenant to Landlord with respect to the surrender of the Premises in the Lease, including without limitation, the provisions of </w:t>
      </w:r>
      <w:r>
        <w:rPr>
          <w:rFonts w:ascii="Times New Roman" w:hAnsi="Times New Roman"/>
          <w:color w:val="000000"/>
          <w:sz w:val="22"/>
          <w:u w:val="single"/>
        </w:rPr>
        <w:t>Section 21.1</w:t>
      </w:r>
      <w:r>
        <w:rPr>
          <w:color w:val="000000"/>
        </w:rPr>
        <w:t xml:space="preserve"> </w:t>
      </w:r>
      <w:r>
        <w:rPr>
          <w:rFonts w:ascii="Times New Roman" w:hAnsi="Times New Roman"/>
          <w:color w:val="000000"/>
          <w:sz w:val="22"/>
        </w:rPr>
        <w:t>of the Lease, shall survive the termination of the Lease.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120"/>
        <w:jc w:val="both"/>
        <w:rPr/>
      </w:pPr>
      <w:r>
        <w:rPr>
          <w:rFonts w:ascii="Times New Roman" w:hAnsi="Times New Roman"/>
          <w:color w:val="000000"/>
          <w:sz w:val="22"/>
          <w:u w:val="single"/>
        </w:rPr>
        <w:t>Releases</w:t>
      </w:r>
      <w:r>
        <w:rPr>
          <w:rFonts w:ascii="Times New Roman" w:hAnsi="Times New Roman"/>
          <w:color w:val="000000"/>
          <w:sz w:val="22"/>
        </w:rPr>
        <w:t xml:space="preserve">. Except as to such rights or claims as may be created or otherwise preserved by this Agreement (including without limitation this </w:t>
      </w:r>
      <w:r>
        <w:rPr>
          <w:rFonts w:ascii="Times New Roman" w:hAnsi="Times New Roman"/>
          <w:color w:val="000000"/>
          <w:sz w:val="22"/>
          <w:u w:val="single"/>
        </w:rPr>
        <w:t>Section 11</w:t>
      </w:r>
      <w:r>
        <w:rPr>
          <w:rFonts w:ascii="Times New Roman" w:hAnsi="Times New Roman"/>
          <w:color w:val="000000"/>
          <w:sz w:val="22"/>
        </w:rPr>
        <w:t>), and except for indemnifications by Tenant set forth in the Lease, which indemnifications Tenant acknowledges shall survive the termination of the Lease, Landlord and Tenant each hereby releases, remises and forever discharges the other from all debts, demands, actions, causes of action, suits, accounts, covenants, contracts, agreements, damages, and all claims and liabilities arising out of, connected with or incidental to the Lease or the Premises to the extent same relate to events or occurrences after the Termination Date. For the avoidance of doubt, and notwithstanding anything set forth in this Agreement to the contrary, this Agreement does not release either party from any obligations accruing under the Lease on or before the Termination Date. The foregoing release of Tenant is conditioned on and subject to Tenant’s timely performance of its obligations under this Agreement. For the avoidance of doubt, if Tenant fails to timely pay any installment of the Termination Payment, which is a condition to the foregoing release in Tenant’s favor, the foregoing release of Tenant shall be null and void, and Landlord shall have all rights and remedies available under the Lease, at law and/or in equity for all amounts that would have been payable by Tenant under the Lease for the period after the Termination Date through May 31, 2031 (after giving credit for any portion of the Termination Payment theretofore paid by Tenant).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120"/>
        <w:jc w:val="both"/>
        <w:rPr/>
      </w:pPr>
      <w:r>
        <w:rPr>
          <w:rFonts w:ascii="Times New Roman" w:hAnsi="Times New Roman"/>
          <w:color w:val="000000"/>
          <w:sz w:val="22"/>
          <w:u w:val="single"/>
        </w:rPr>
        <w:t>Representations and Warranties</w:t>
      </w:r>
      <w:r>
        <w:rPr>
          <w:rFonts w:ascii="Times New Roman" w:hAnsi="Times New Roman"/>
          <w:color w:val="000000"/>
          <w:sz w:val="22"/>
        </w:rPr>
        <w:t>. Tenant represents and warrants to Landlord that (a) Tenant has made such investigation of the facts pertaining to this settlement and this Agreement, and all matters pertaining thereto, as it deems necessary; (b) Tenant has read this Agreement and understands the contents hereof; (c) each of Tenant’s officers or other parties executing this Agreement on its behalf is empowered and authorized by all requisite action to do so and the Agreement thereby binds the respective entity and is enforceable in accordance with its terms; (d) the consummation of the transactions contemplated hereby does not require Tenant to obtain the consent of any governmental entity or third person, and does not and will not constitute a violation of documents or instruments under which Tenant is constituted or any agreement by which it or its properties may be subject or bound; (e) Tenant has not prior hereto assigned, transferred, or granted, or purported to assign, transfer or grant, its interest in the Lease or any claims, demands, cause or causes of action disposed of by this Agreement or related to the Lease or the Premises; (f) Tenant is not relying upon any statement of any other party in executing this Agreement, except as expressly stated in this Agreement; (g) Tenant is duly incorporated or otherwise established or formed and validly existing under the laws of its state of incorporation, establishment or formation; (h) Tenant has and is duly qualified to do business in the state in which the Property is located; and (i) Tenant has full corporate, partnership, trust, limited liability company or other appropriate power and authority to enter into this Agreement and to perform all of Tenant’s obligations hereunder</w:t>
      </w:r>
      <w:r>
        <w:rPr>
          <w:rFonts w:ascii="Times New Roman" w:hAnsi="Times New Roman"/>
          <w:i/>
          <w:color w:val="000000"/>
          <w:sz w:val="22"/>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120"/>
        <w:jc w:val="both"/>
        <w:rPr/>
      </w:pPr>
      <w:r>
        <w:rPr>
          <w:rFonts w:ascii="Times New Roman" w:hAnsi="Times New Roman"/>
          <w:color w:val="000000"/>
          <w:sz w:val="22"/>
          <w:u w:val="single"/>
        </w:rPr>
        <w:t>Severability</w:t>
      </w:r>
      <w:r>
        <w:rPr>
          <w:rFonts w:ascii="Times New Roman" w:hAnsi="Times New Roman"/>
          <w:color w:val="000000"/>
          <w:sz w:val="22"/>
        </w:rPr>
        <w:t>. If any provision of this Agreement is held invalid or unenforceable with respect to any party, the remainder of this Agreement or the application of such provision to persons other then those as to whom it is held invalid or unenforceable, shall not be affected and each provision of this Agreement shall be valid and enforceable to the fullest extent permitted by law.</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14.</w:t>
      </w:r>
    </w:p>
    <w:p>
      <w:pPr>
        <w:pStyle w:val="TextBody"/>
        <w:bidi w:val="0"/>
        <w:spacing w:before="0" w:after="120"/>
        <w:jc w:val="both"/>
        <w:rPr/>
      </w:pPr>
      <w:r>
        <w:rPr>
          <w:rFonts w:ascii="Times New Roman" w:hAnsi="Times New Roman"/>
          <w:color w:val="000000"/>
          <w:sz w:val="22"/>
          <w:u w:val="single"/>
        </w:rPr>
        <w:t>WAIVER OF JURY TRIAL</w:t>
      </w:r>
      <w:r>
        <w:rPr>
          <w:rFonts w:ascii="Times New Roman" w:hAnsi="Times New Roman"/>
          <w:color w:val="000000"/>
          <w:sz w:val="22"/>
        </w:rPr>
        <w:t>. TENANT AND LANDLORD WAIVE ANY RIGHT TO TRIAL BY JURY OR TO HAVE A JURY PARTICIPATE IN RESOLVING ANY DISPUTE, WHETHER SOUNDING IN CONTRACT, TORT, OR OTHERWISE, BETWEEN LANDLORD AND TENANT ARISING OUT OF THE LEASE OR THIS AGREEMENT OR ANY OTHER INSTRUMENT, DOCUMENT, OR AGREEMENT EXECUTED OR DELIVERED IN CONNECTION HEREWITH OR THE TRANSACTIONS RELATED HERETO.</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15.</w:t>
      </w:r>
    </w:p>
    <w:p>
      <w:pPr>
        <w:pStyle w:val="TextBody"/>
        <w:bidi w:val="0"/>
        <w:spacing w:before="0" w:after="120"/>
        <w:jc w:val="both"/>
        <w:rPr/>
      </w:pPr>
      <w:r>
        <w:rPr>
          <w:rFonts w:ascii="Times New Roman" w:hAnsi="Times New Roman"/>
          <w:color w:val="000000"/>
          <w:sz w:val="22"/>
          <w:u w:val="single"/>
        </w:rPr>
        <w:t>Limitation of Liability</w:t>
      </w:r>
      <w:r>
        <w:rPr>
          <w:rFonts w:ascii="Times New Roman" w:hAnsi="Times New Roman"/>
          <w:color w:val="000000"/>
          <w:sz w:val="22"/>
        </w:rPr>
        <w:t>. Tenant shall neither assert nor seek to enforce any claim against Landlord, MIT 130 Brookline LLC (“</w:t>
      </w:r>
      <w:r>
        <w:rPr>
          <w:rFonts w:ascii="Times New Roman" w:hAnsi="Times New Roman"/>
          <w:b/>
          <w:color w:val="000000"/>
          <w:sz w:val="22"/>
          <w:u w:val="single"/>
        </w:rPr>
        <w:t>Fee Owner</w:t>
      </w:r>
      <w:r>
        <w:rPr>
          <w:color w:val="000000"/>
        </w:rPr>
        <w:t>”</w:t>
      </w:r>
      <w:r>
        <w:rPr>
          <w:rFonts w:ascii="Times New Roman" w:hAnsi="Times New Roman"/>
          <w:color w:val="000000"/>
          <w:sz w:val="22"/>
        </w:rPr>
        <w:t xml:space="preserve">) or any Mortgagee, or the assets of any of the foregoing, for breach of the Lease, this Agreement or otherwise, other than against Landlord’s interest in the Building and in the uncollected rents, issues and profits thereof, and Tenant agrees to look solely to such interest for the satisfaction of any liability of Landlord under the Lease and/or this Agreement. This Section 15 shall not limit any right that Tenant might otherwise have to obtain injunctive relief against Landlord. </w:t>
      </w:r>
      <w:r>
        <w:rPr>
          <w:rFonts w:ascii="Times New Roman" w:hAnsi="Times New Roman"/>
          <w:b/>
          <w:color w:val="000000"/>
          <w:sz w:val="22"/>
        </w:rPr>
        <w:t>In no event shall any officer, director, trustee, employee or representative of Landlord, Fee Owner or any Mortgagee ever be personally liable for any obligation under the Lease or this Agreement, nor shall Landlord, Fee Owner or any Mortgagee be liable for punitive, consequential or incidental damages or for lost profits whatsoever in connection with this Lease.</w:t>
      </w:r>
      <w:r>
        <w:rPr>
          <w:color w:val="000000"/>
        </w:rPr>
        <w:t xml:space="preserve">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16.</w:t>
      </w:r>
    </w:p>
    <w:p>
      <w:pPr>
        <w:pStyle w:val="TextBody"/>
        <w:bidi w:val="0"/>
        <w:spacing w:before="0" w:after="120"/>
        <w:jc w:val="both"/>
        <w:rPr/>
      </w:pPr>
      <w:r>
        <w:rPr>
          <w:rFonts w:ascii="Times New Roman" w:hAnsi="Times New Roman"/>
          <w:color w:val="000000"/>
          <w:sz w:val="22"/>
          <w:u w:val="single"/>
        </w:rPr>
        <w:t>Ratification</w:t>
      </w:r>
      <w:r>
        <w:rPr>
          <w:rFonts w:ascii="Times New Roman" w:hAnsi="Times New Roman"/>
          <w:color w:val="000000"/>
          <w:sz w:val="22"/>
        </w:rPr>
        <w:t>. Except as affected hereby, the terms and conditions of the Lease shall remain unaffected. From and after the date hereof, all references to the Lease shall mean the Lease as affected hereby.</w:t>
      </w:r>
      <w:r>
        <w:rPr>
          <w:color w:val="000000"/>
        </w:rPr>
        <w:t xml:space="preserve"> </w:t>
      </w:r>
      <w:r>
        <w:rPr>
          <w:rFonts w:ascii="Times New Roman" w:hAnsi="Times New Roman"/>
          <w:color w:val="000000"/>
          <w:sz w:val="22"/>
        </w:rPr>
        <w:t>Additionally, Tenant confirms and ratifies that, as of the date hereof and to its actual knowledge, (a) the Lease is and remains in good standing and in full force and effect, and (b) it has no claims, counterclaims, set</w:t>
        <w:noBreakHyphen/>
        <w:t>offs or defenses against Landlord arising out of the Lease or the Premises or in any way relating thereto.</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17.</w:t>
      </w:r>
    </w:p>
    <w:p>
      <w:pPr>
        <w:pStyle w:val="TextBody"/>
        <w:bidi w:val="0"/>
        <w:spacing w:before="0" w:after="120"/>
        <w:jc w:val="both"/>
        <w:rPr/>
      </w:pPr>
      <w:r>
        <w:rPr>
          <w:rFonts w:ascii="Times New Roman" w:hAnsi="Times New Roman"/>
          <w:color w:val="000000"/>
          <w:sz w:val="22"/>
          <w:u w:val="single"/>
        </w:rPr>
        <w:t>Miscellaneous</w:t>
      </w:r>
      <w:r>
        <w:rPr>
          <w:rFonts w:ascii="Times New Roman" w:hAnsi="Times New Roman"/>
          <w:color w:val="000000"/>
          <w:sz w:val="22"/>
        </w:rPr>
        <w:t xml:space="preserve">. Landlord and Tenant each warrants and represents to the other that, other than Cushman &amp; Wakefield and CBRE (the “Brokers’), it has dealt with no other broker in connection with this Agreement, which Brokers Landlord hereby agrees to compensate pursuant to a separate agreement. In the event of any conflict between the Lease and this Agreement, this Agreement shall control. This Agreement shall be deemed to have been executed and delivered within the Commonwealth of Massachusetts, and the rights and obligations of Landlord and Tenant shall be construed and enforced 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both"/>
        <w:rPr/>
      </w:pPr>
      <w:r>
        <w:rPr>
          <w:rFonts w:ascii="Times New Roman" w:hAnsi="Times New Roman"/>
          <w:color w:val="000000"/>
          <w:sz w:val="22"/>
        </w:rPr>
        <w:t xml:space="preserve">accordance with, and governed by, the laws of the Commonwealth of Massachusetts. This Agreement is binding upon and shall inure to the benefit of the Landlord and Tenant, their respective successors and assigns. The captions are inserted only as a matter of convenience and for reference, and in no way define, limit or describe the scope of this Agreement nor the intent of any provisions thereof. Each party has cooperated in the drafting and preparation of this Agreement and, therefore, in any construction to be made of this Agreement, the same shall not be construed against either party. Consistent with </w:t>
      </w:r>
      <w:r>
        <w:rPr>
          <w:rFonts w:ascii="Times New Roman" w:hAnsi="Times New Roman"/>
          <w:color w:val="000000"/>
          <w:sz w:val="22"/>
          <w:u w:val="single"/>
        </w:rPr>
        <w:t>Section 20.4</w:t>
      </w:r>
      <w:r>
        <w:rPr>
          <w:color w:val="000000"/>
        </w:rPr>
        <w:t xml:space="preserve"> </w:t>
      </w:r>
      <w:r>
        <w:rPr>
          <w:rFonts w:ascii="Times New Roman" w:hAnsi="Times New Roman"/>
          <w:color w:val="000000"/>
          <w:sz w:val="22"/>
        </w:rPr>
        <w:t>of the Lease, Tenant shall reimburse Landlord for all out-of-pocket costs and expenses, including without limitation reasonable legal fees, incurred in enforcing any obligation of Tenant under this Agreement. This Agreement may be executed in counterparts, and when each party has signed and delivered at least one such counterpart, each counterpart shall be deemed an original, and, when taken together with other signed counterparts, shall constitute one Agreement, which shall be binding upon and effective as to all parties. This Agreement, together with the Lease as affected hereby, constitutes the entire agreement of the parties, and may not be amended except by a written instrument signed by all the parties. A PDF or other electronic signature on this Agreement shall be equivalent to, and have the same force and effect as, an original signature.</w:t>
      </w:r>
    </w:p>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0" w:after="120"/>
        <w:jc w:val="center"/>
        <w:rPr>
          <w:rFonts w:ascii="Times New Roman" w:hAnsi="Times New Roman"/>
          <w:color w:val="000000"/>
          <w:sz w:val="22"/>
        </w:rPr>
      </w:pPr>
      <w:r>
        <w:rPr>
          <w:rFonts w:ascii="Times New Roman" w:hAnsi="Times New Roman"/>
          <w:color w:val="000000"/>
          <w:sz w:val="22"/>
        </w:rPr>
        <w:t>[REMAINDER OF PAGE INTENTIONALLY BLANK]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IN WITNESS WHEREOF, the parties have caused this Agreement to be executed by their respective duly authorized officers as of the date first set forth above.</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LANDLORD: MIT 130 BROOKLINE LEASEHOLD LLC</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By: MIT Cambridge Real Estate LLC, its manager</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By: __/s/ Seth D. Alexander____________________</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Seth D. Alexander, President, and not individually</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TENANT: INTELLIA THERAPEUTICS, INC.</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By: __/s/ Edward Dulac_______________________</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Name: Edward Dulac</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Title: Chief Financial Officer, and not individually</w:t>
      </w:r>
    </w:p>
    <w:p>
      <w:pPr>
        <w:pStyle w:val="TextBody"/>
        <w:bidi w:val="0"/>
        <w:spacing w:before="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color w:val="000000"/>
          <w:sz w:val="22"/>
        </w:rPr>
      </w:pPr>
      <w:r>
        <w:rPr>
          <w:rFonts w:ascii="Times New Roman" w:hAnsi="Times New Roman"/>
          <w:color w:val="000000"/>
          <w:sz w:val="22"/>
        </w:rPr>
        <w:t>EXHIBIT A</w:t>
      </w:r>
    </w:p>
    <w:p>
      <w:pPr>
        <w:pStyle w:val="TextBody"/>
        <w:bidi w:val="0"/>
        <w:spacing w:before="0" w:after="120"/>
        <w:jc w:val="center"/>
        <w:rPr>
          <w:rFonts w:ascii="Times New Roman" w:hAnsi="Times New Roman"/>
          <w:color w:val="000000"/>
          <w:sz w:val="22"/>
        </w:rPr>
      </w:pPr>
      <w:r>
        <w:rPr>
          <w:rFonts w:ascii="Times New Roman" w:hAnsi="Times New Roman"/>
          <w:color w:val="000000"/>
          <w:sz w:val="22"/>
        </w:rPr>
        <w:t>[***]</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color w:val="000000"/>
          <w:sz w:val="22"/>
        </w:rPr>
      </w:pPr>
      <w:r>
        <w:rPr>
          <w:rFonts w:ascii="Times New Roman" w:hAnsi="Times New Roman"/>
          <w:color w:val="000000"/>
          <w:sz w:val="22"/>
        </w:rPr>
        <w:t>EXHIBIT B</w:t>
      </w:r>
    </w:p>
    <w:p>
      <w:pPr>
        <w:pStyle w:val="TextBody"/>
        <w:bidi w:val="0"/>
        <w:spacing w:before="0" w:after="120"/>
        <w:jc w:val="center"/>
        <w:rPr>
          <w:rFonts w:ascii="Times New Roman" w:hAnsi="Times New Roman"/>
          <w:color w:val="000000"/>
          <w:sz w:val="22"/>
        </w:rPr>
      </w:pPr>
      <w:r>
        <w:rPr>
          <w:rFonts w:ascii="Times New Roman" w:hAnsi="Times New Roman"/>
          <w:color w:val="000000"/>
          <w:sz w:val="22"/>
        </w:rPr>
        <w: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EXHIBIT C</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ntla-ex31_1.htm"/>
      <w:bookmarkStart w:id="22" w:name="ksntla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13a-14(a) / RULE 15d-14(a) OF THE SECURITIES EXCHANGE ACT OF 1934, AS AMENDED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 John M. Leonard, M.D., certify that: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 have reviewed this Quarterly Report on Form 10-Q of Intellia Therapeutics, Inc.;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6, 2026</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M. Leonard</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M. Leonard, M.D.</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ntla-ex31_2.htm"/>
      <w:bookmarkStart w:id="24" w:name="ksntla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13a-14(a) / RULE 15d-14(a) OF THE SECURITIES EXCHANGE ACT OF 1934, AS AMENDED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 Edward J. Dulac III, certify that: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Intellia Therapeutics,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6, 2026</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283"/>
              <w:jc w:val="left"/>
              <w:rPr>
                <w:sz w:val="4"/>
                <w:szCs w:val="4"/>
              </w:rPr>
            </w:pPr>
            <w:r>
              <w:rPr>
                <w:sz w:val="4"/>
                <w:szCs w:val="4"/>
              </w:rPr>
            </w:r>
          </w:p>
        </w:tc>
      </w:tr>
      <w:tr>
        <w:trPr/>
        <w:tc>
          <w:tcPr>
            <w:tcW w:w="4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Edward J. Dulac III</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J. Dulac III</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ntla-ex32_1.htm"/>
      <w:bookmarkStart w:id="26" w:name="ksntla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OF CEO AND CFO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this Quarterly Report on Form 10-Q of Intellia Therapeutics, Inc. (the “Company”) for the period ended June 30, 2026, as filed with the Securities and Exchange Commission on the date hereof (the “Report”), each of the undersigned, John M. Leonard, M.D., President and Chief Executive Officer (Principal Executive Officer) of the Company, and Edward J. Dulac III, Executive Vice President and Chief Financial Officer (Principal Financial Officer) of the Company, hereby certifies, pursuant to 18 U.S.C. (section) 1350, as adopted pursuant to (section) 906 of the Sarbanes-Oxley Act of 2002, that to the best of his knowledge: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August 6, 2026</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283"/>
              <w:jc w:val="left"/>
              <w:rPr>
                <w:sz w:val="4"/>
                <w:szCs w:val="4"/>
              </w:rPr>
            </w:pPr>
            <w:r>
              <w:rPr>
                <w:sz w:val="4"/>
                <w:szCs w:val="4"/>
              </w:rPr>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M. Leonard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M. Leonard, M.D.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Edward J. Dulac III</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J. Dulac III</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2130/000119312526076550/ntla-ex3_1.htm" TargetMode="External"/><Relationship Id="rId3" Type="http://schemas.openxmlformats.org/officeDocument/2006/relationships/hyperlink" Target="https://www.sec.gov/Archives/edgar/data/1652130/000119312526151300/d65395dex31.htm" TargetMode="External"/><Relationship Id="rId4" Type="http://schemas.openxmlformats.org/officeDocument/2006/relationships/hyperlink" Target="https://www.sec.gov/Archives/edgar/data/1652130/000119312526215740/ntla-ex10_1.htm" TargetMode="External"/><Relationship Id="rId5" Type="http://schemas.openxmlformats.org/officeDocument/2006/relationships/hyperlink" Target="https://www.sec.gov/Archives/edgar/data/1652130/000119312526215740/ntla-ex10_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58004</Words>
  <Characters>324972</Characters>
  <CharactersWithSpaces>383542</CharactersWithSpaces>
  <Paragraphs>5730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